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2E0E" w:rsidRDefault="002B2E0E" w:rsidP="00FA0E32">
      <w:pPr>
        <w:pStyle w:val="Standard"/>
        <w:tabs>
          <w:tab w:val="left" w:pos="381"/>
        </w:tabs>
        <w:jc w:val="both"/>
      </w:pPr>
      <w:r w:rsidRPr="00FA0E32">
        <w:rPr>
          <w:rFonts w:ascii="Tahoma" w:hAnsi="Tahoma"/>
          <w:b/>
          <w:bCs/>
        </w:rPr>
        <w:t xml:space="preserve">Formulário de Categorias e Parâmetros de Riscos de Segurança da Informação (SI) </w:t>
      </w:r>
      <w:r w:rsidRPr="00FA0E32">
        <w:rPr>
          <w:rFonts w:ascii="Tahoma" w:hAnsi="Tahoma"/>
          <w:b/>
          <w:bCs/>
        </w:rPr>
        <w:t>da</w:t>
      </w:r>
      <w:r>
        <w:rPr>
          <w:rFonts w:ascii="Tahoma" w:hAnsi="Tahoma"/>
          <w:b/>
          <w:bCs/>
        </w:rPr>
        <w:t xml:space="preserve"> </w:t>
      </w:r>
      <w:r>
        <w:rPr>
          <w:b/>
          <w:bCs/>
          <w:color w:val="0000FF"/>
        </w:rPr>
        <w:t>&lt;Sigla da estatal&gt;</w:t>
      </w:r>
    </w:p>
    <w:p w:rsidR="002B2E0E" w:rsidRDefault="002B2E0E" w:rsidP="002B2E0E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bookmarkStart w:id="0" w:name="_GoBack"/>
      <w:bookmarkEnd w:id="0"/>
    </w:p>
    <w:p w:rsidR="002B2E0E" w:rsidRDefault="002B2E0E" w:rsidP="002B2E0E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2B2E0E" w:rsidRDefault="002B2E0E" w:rsidP="002B2E0E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2B2E0E" w:rsidTr="000A452A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2B2E0E" w:rsidTr="000A452A">
        <w:tblPrEx>
          <w:tblCellMar>
            <w:top w:w="0" w:type="dxa"/>
            <w:bottom w:w="0" w:type="dxa"/>
          </w:tblCellMar>
        </w:tblPrEx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E0E" w:rsidRDefault="002B2E0E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B2E0E" w:rsidRDefault="002B2E0E" w:rsidP="000A452A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5975D3" w:rsidRDefault="005975D3">
      <w:pPr>
        <w:rPr>
          <w:b/>
          <w:sz w:val="28"/>
          <w:szCs w:val="28"/>
        </w:rPr>
      </w:pPr>
    </w:p>
    <w:p w:rsidR="005975D3" w:rsidRDefault="008356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1.Objetivos</w:t>
      </w:r>
    </w:p>
    <w:p w:rsidR="005975D3" w:rsidRDefault="005975D3">
      <w:pPr>
        <w:rPr>
          <w:b/>
          <w:sz w:val="28"/>
          <w:szCs w:val="28"/>
        </w:rPr>
      </w:pPr>
    </w:p>
    <w:p w:rsidR="005975D3" w:rsidRDefault="001D0949" w:rsidP="001D0949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pt-BR"/>
        </w:rPr>
        <w:t>&lt;</w:t>
      </w:r>
      <w:r>
        <w:rPr>
          <w:i/>
          <w:color w:val="0000FF"/>
          <w:sz w:val="24"/>
          <w:szCs w:val="24"/>
          <w:lang w:val="pt-BR"/>
        </w:rPr>
        <w:t>Inserir</w:t>
      </w:r>
      <w:proofErr w:type="gramEnd"/>
      <w:r>
        <w:rPr>
          <w:i/>
          <w:color w:val="0000FF"/>
          <w:sz w:val="24"/>
          <w:szCs w:val="24"/>
          <w:lang w:val="pt-BR"/>
        </w:rPr>
        <w:t xml:space="preserve"> o objetivo do formulário de categoria e parâmetros de riscos &gt;</w:t>
      </w:r>
    </w:p>
    <w:p w:rsidR="005975D3" w:rsidRDefault="005975D3">
      <w:pPr>
        <w:rPr>
          <w:sz w:val="24"/>
          <w:szCs w:val="24"/>
        </w:rPr>
      </w:pPr>
    </w:p>
    <w:p w:rsidR="005975D3" w:rsidRDefault="00835627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</w:t>
      </w:r>
      <w:r>
        <w:rPr>
          <w:b/>
          <w:sz w:val="28"/>
          <w:szCs w:val="28"/>
        </w:rPr>
        <w:t>2.</w:t>
      </w:r>
      <w:r>
        <w:rPr>
          <w:sz w:val="24"/>
          <w:szCs w:val="24"/>
        </w:rPr>
        <w:t xml:space="preserve">  </w:t>
      </w:r>
      <w:r w:rsidR="002B17BE">
        <w:rPr>
          <w:b/>
          <w:sz w:val="28"/>
          <w:szCs w:val="28"/>
          <w:lang w:val="pt-BR"/>
        </w:rPr>
        <w:t>P</w:t>
      </w:r>
      <w:r>
        <w:rPr>
          <w:b/>
          <w:sz w:val="28"/>
          <w:szCs w:val="28"/>
        </w:rPr>
        <w:t>arametrização de critério</w:t>
      </w:r>
      <w:r w:rsidR="002B17BE">
        <w:rPr>
          <w:b/>
          <w:sz w:val="28"/>
          <w:szCs w:val="28"/>
          <w:lang w:val="pt-BR"/>
        </w:rPr>
        <w:t>s</w:t>
      </w:r>
      <w:r>
        <w:rPr>
          <w:b/>
          <w:sz w:val="28"/>
          <w:szCs w:val="28"/>
        </w:rPr>
        <w:t xml:space="preserve"> de tratamento e de aceitação de riscos</w:t>
      </w:r>
    </w:p>
    <w:p w:rsidR="005975D3" w:rsidRDefault="005975D3">
      <w:pPr>
        <w:rPr>
          <w:sz w:val="24"/>
          <w:szCs w:val="24"/>
        </w:rPr>
      </w:pPr>
    </w:p>
    <w:p w:rsidR="002B17BE" w:rsidRDefault="002B17BE" w:rsidP="002B17BE">
      <w:pPr>
        <w:jc w:val="both"/>
        <w:rPr>
          <w:i/>
          <w:color w:val="0000FF"/>
          <w:sz w:val="24"/>
          <w:szCs w:val="24"/>
          <w:lang w:val="pt-BR"/>
        </w:rPr>
      </w:pPr>
      <w:r>
        <w:rPr>
          <w:i/>
          <w:color w:val="0000FF"/>
          <w:sz w:val="24"/>
          <w:szCs w:val="24"/>
          <w:lang w:val="pt-BR"/>
        </w:rPr>
        <w:t>&lt;</w:t>
      </w:r>
      <w:proofErr w:type="gramStart"/>
      <w:r>
        <w:rPr>
          <w:i/>
          <w:color w:val="0000FF"/>
          <w:sz w:val="24"/>
          <w:szCs w:val="24"/>
          <w:lang w:val="pt-BR"/>
        </w:rPr>
        <w:t>in</w:t>
      </w:r>
      <w:r>
        <w:rPr>
          <w:i/>
          <w:color w:val="0000FF"/>
          <w:sz w:val="24"/>
          <w:szCs w:val="24"/>
          <w:lang w:val="pt-BR"/>
        </w:rPr>
        <w:t>serir</w:t>
      </w:r>
      <w:proofErr w:type="gramEnd"/>
      <w:r>
        <w:rPr>
          <w:i/>
          <w:color w:val="0000FF"/>
          <w:sz w:val="24"/>
          <w:szCs w:val="24"/>
          <w:lang w:val="pt-BR"/>
        </w:rPr>
        <w:t xml:space="preserve"> </w:t>
      </w:r>
      <w:r>
        <w:rPr>
          <w:i/>
          <w:color w:val="0000FF"/>
          <w:sz w:val="24"/>
          <w:szCs w:val="24"/>
          <w:lang w:val="pt-BR"/>
        </w:rPr>
        <w:t>a parametrização e os critérios de tratamento e aceitação dos riscos&gt;</w:t>
      </w:r>
    </w:p>
    <w:p w:rsidR="0020009B" w:rsidRDefault="0020009B" w:rsidP="002B17BE">
      <w:pPr>
        <w:jc w:val="both"/>
        <w:rPr>
          <w:i/>
          <w:color w:val="0000FF"/>
          <w:sz w:val="24"/>
          <w:szCs w:val="24"/>
          <w:lang w:val="pt-BR"/>
        </w:rPr>
      </w:pPr>
    </w:p>
    <w:tbl>
      <w:tblPr>
        <w:tblW w:w="960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2"/>
        <w:gridCol w:w="2653"/>
        <w:gridCol w:w="2653"/>
        <w:gridCol w:w="2654"/>
      </w:tblGrid>
      <w:tr w:rsidR="0020009B" w:rsidTr="00D1323C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96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008000"/>
          </w:tcPr>
          <w:p w:rsidR="0020009B" w:rsidRDefault="0020009B" w:rsidP="000A452A">
            <w:pPr>
              <w:pStyle w:val="TableContents"/>
              <w:jc w:val="center"/>
            </w:pPr>
            <w:r>
              <w:t>Parametrização de critério de tratamento e de aceitação de riscos</w:t>
            </w:r>
          </w:p>
        </w:tc>
      </w:tr>
      <w:tr w:rsidR="003A1C9E" w:rsidTr="00CF6A3D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6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C9E" w:rsidRDefault="003A1C9E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t>Classe de Riscos</w:t>
            </w:r>
          </w:p>
        </w:tc>
        <w:tc>
          <w:tcPr>
            <w:tcW w:w="53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C9E" w:rsidRDefault="003A1C9E" w:rsidP="000A452A">
            <w:pPr>
              <w:pStyle w:val="TableContents"/>
              <w:jc w:val="center"/>
            </w:pPr>
            <w:r>
              <w:t>Valores Limites de Risco</w:t>
            </w:r>
          </w:p>
          <w:p w:rsidR="003A1C9E" w:rsidRDefault="003A1C9E" w:rsidP="000A452A">
            <w:pPr>
              <w:pStyle w:val="TableContents"/>
              <w:jc w:val="center"/>
            </w:pPr>
            <w:r>
              <w:t>Limite Superior (S)</w:t>
            </w:r>
          </w:p>
        </w:tc>
        <w:tc>
          <w:tcPr>
            <w:tcW w:w="26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shd w:val="clear" w:color="auto" w:fill="008000"/>
          </w:tcPr>
          <w:p w:rsidR="003A1C9E" w:rsidRDefault="003A1C9E" w:rsidP="000A452A">
            <w:pPr>
              <w:pStyle w:val="TableContents"/>
              <w:jc w:val="center"/>
            </w:pPr>
            <w:r>
              <w:t>Ações a serem tomadas no tratamento de riscos.</w:t>
            </w:r>
          </w:p>
        </w:tc>
      </w:tr>
      <w:tr w:rsidR="003A1C9E" w:rsidTr="00CF6A3D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C9E" w:rsidRDefault="003A1C9E" w:rsidP="000A452A">
            <w:pPr>
              <w:pStyle w:val="TableContents"/>
              <w:jc w:val="center"/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A1C9E" w:rsidRDefault="003A1C9E" w:rsidP="000A452A">
            <w:pPr>
              <w:pStyle w:val="TableContents"/>
              <w:jc w:val="center"/>
            </w:pPr>
            <w:r>
              <w:t>Limite Inferior (I)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</w:tcPr>
          <w:p w:rsidR="003A1C9E" w:rsidRDefault="003A1C9E" w:rsidP="000A452A">
            <w:pPr>
              <w:pStyle w:val="TableContents"/>
              <w:jc w:val="center"/>
            </w:pPr>
            <w:r>
              <w:t>Limite Superior (S)</w:t>
            </w:r>
          </w:p>
        </w:tc>
        <w:tc>
          <w:tcPr>
            <w:tcW w:w="2654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008000"/>
          </w:tcPr>
          <w:p w:rsidR="003A1C9E" w:rsidRDefault="003A1C9E" w:rsidP="000A452A">
            <w:pPr>
              <w:pStyle w:val="TableContents"/>
              <w:jc w:val="center"/>
            </w:pPr>
          </w:p>
        </w:tc>
      </w:tr>
      <w:tr w:rsidR="0020009B" w:rsidTr="0020009B">
        <w:tblPrEx>
          <w:tblCellMar>
            <w:top w:w="0" w:type="dxa"/>
            <w:bottom w:w="0" w:type="dxa"/>
          </w:tblCellMar>
        </w:tblPrEx>
        <w:trPr>
          <w:trHeight w:val="157"/>
        </w:trPr>
        <w:tc>
          <w:tcPr>
            <w:tcW w:w="16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009B" w:rsidRDefault="0020009B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009B" w:rsidRDefault="0020009B" w:rsidP="000A452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20009B" w:rsidRDefault="0020009B" w:rsidP="000A452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20009B" w:rsidRDefault="0020009B" w:rsidP="000A452A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20009B" w:rsidRDefault="0020009B" w:rsidP="002B17BE">
      <w:pPr>
        <w:jc w:val="both"/>
        <w:rPr>
          <w:sz w:val="24"/>
          <w:szCs w:val="24"/>
        </w:rPr>
      </w:pPr>
    </w:p>
    <w:p w:rsidR="002B17BE" w:rsidRDefault="002B17BE">
      <w:pPr>
        <w:rPr>
          <w:sz w:val="24"/>
          <w:szCs w:val="24"/>
        </w:rPr>
      </w:pPr>
    </w:p>
    <w:p w:rsidR="002B17BE" w:rsidRDefault="002B17BE" w:rsidP="002B17BE">
      <w:pPr>
        <w:spacing w:after="360"/>
        <w:ind w:left="284"/>
        <w:jc w:val="right"/>
        <w:rPr>
          <w:sz w:val="20"/>
          <w:szCs w:val="20"/>
        </w:rPr>
      </w:pPr>
      <w:r>
        <w:rPr>
          <w:sz w:val="20"/>
          <w:szCs w:val="20"/>
        </w:rPr>
        <w:t>Aprovado em ___ de __________ de _____.</w:t>
      </w:r>
    </w:p>
    <w:p w:rsidR="002B17BE" w:rsidRDefault="005C6758" w:rsidP="005C6758">
      <w:pPr>
        <w:pStyle w:val="Standard"/>
        <w:ind w:left="3600"/>
        <w:jc w:val="center"/>
      </w:pPr>
      <w:r>
        <w:rPr>
          <w:rFonts w:ascii="Arial" w:hAnsi="Arial" w:cs="Arial"/>
          <w:sz w:val="20"/>
          <w:szCs w:val="20"/>
        </w:rPr>
        <w:softHyphen/>
      </w:r>
      <w:r w:rsidR="002B17BE">
        <w:rPr>
          <w:color w:val="0000FF"/>
        </w:rPr>
        <w:t>&lt;nome c</w:t>
      </w:r>
      <w:r>
        <w:rPr>
          <w:color w:val="0000FF"/>
        </w:rPr>
        <w:t xml:space="preserve">ompleto da autoridade máxima da </w:t>
      </w:r>
      <w:r w:rsidR="002B17BE">
        <w:rPr>
          <w:color w:val="0000FF"/>
        </w:rPr>
        <w:t>Estatal &gt;</w:t>
      </w:r>
    </w:p>
    <w:p w:rsidR="002B17BE" w:rsidRDefault="002B17BE" w:rsidP="002B17BE">
      <w:pPr>
        <w:pStyle w:val="Standard"/>
        <w:spacing w:after="120"/>
        <w:ind w:left="3545" w:firstLine="709"/>
        <w:jc w:val="center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p w:rsidR="002B17BE" w:rsidRDefault="002B17BE">
      <w:pPr>
        <w:rPr>
          <w:sz w:val="24"/>
          <w:szCs w:val="24"/>
          <w:lang w:val="pt-BR"/>
        </w:rPr>
      </w:pPr>
    </w:p>
    <w:p w:rsidR="0020009B" w:rsidRDefault="0020009B">
      <w:pPr>
        <w:rPr>
          <w:sz w:val="24"/>
          <w:szCs w:val="24"/>
          <w:lang w:val="pt-BR"/>
        </w:rPr>
      </w:pPr>
    </w:p>
    <w:p w:rsidR="005975D3" w:rsidRDefault="00835627">
      <w:pPr>
        <w:rPr>
          <w:b/>
          <w:sz w:val="24"/>
          <w:szCs w:val="24"/>
        </w:rPr>
      </w:pPr>
      <w:r>
        <w:rPr>
          <w:b/>
          <w:sz w:val="24"/>
          <w:szCs w:val="24"/>
        </w:rPr>
        <w:t>Observações :</w:t>
      </w:r>
    </w:p>
    <w:p w:rsidR="005975D3" w:rsidRPr="00723D5A" w:rsidRDefault="005975D3" w:rsidP="00723D5A">
      <w:pPr>
        <w:jc w:val="both"/>
        <w:rPr>
          <w:b/>
          <w:color w:val="auto"/>
          <w:sz w:val="24"/>
          <w:szCs w:val="24"/>
        </w:rPr>
      </w:pPr>
    </w:p>
    <w:p w:rsidR="001D0949" w:rsidRPr="00723D5A" w:rsidRDefault="001D0949" w:rsidP="00723D5A">
      <w:pPr>
        <w:jc w:val="both"/>
        <w:rPr>
          <w:i/>
          <w:color w:val="auto"/>
          <w:sz w:val="24"/>
          <w:szCs w:val="24"/>
        </w:rPr>
      </w:pPr>
      <w:r w:rsidRPr="00723D5A">
        <w:rPr>
          <w:i/>
          <w:color w:val="auto"/>
          <w:sz w:val="24"/>
          <w:szCs w:val="24"/>
        </w:rPr>
        <w:t>No processo de gestão de riscos são necessários critérios para avaliar o nível dos riscos e para decidir sobre qual tratamento deve ser realizado.Para tanto são utilizados critérios que sistematizam este processo: critérios para a avaliação de riscos e de impactos, e critérios para a aceitação de riscos</w:t>
      </w:r>
    </w:p>
    <w:p w:rsidR="001D0949" w:rsidRDefault="001D0949">
      <w:pPr>
        <w:rPr>
          <w:b/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 faixas (ou classes) definidas pelos critérios de avaliação de riscos e de aceitação de riscos neste caso estabelecem: 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 Risco Muito Baixo (MB): nível de risco entre 1 e 2; 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o Risco Baixo (B): nível de risco entre 3 e 4;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Risco Moderado (M): nível de risco igual a 5; 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Risco Alto (A): nível de risco entre 6 e 7; 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Risco Muito Alto (MA): nível de risco entre 8 e 9. 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Definição de ações a serem tomadas para o tratamento de ri</w:t>
      </w:r>
      <w:r>
        <w:rPr>
          <w:sz w:val="24"/>
          <w:szCs w:val="24"/>
        </w:rPr>
        <w:t>scos em cada faixa. Este aspecto estabelece a estratégia da organização para tratar os riscos, dependendo dos resultados obtidos na estimativa de riscos. Aspectos como custo-benefício de tratamentos também devem ser levados em conta. A seguir um exemplo de</w:t>
      </w:r>
      <w:r>
        <w:rPr>
          <w:sz w:val="24"/>
          <w:szCs w:val="24"/>
        </w:rPr>
        <w:t xml:space="preserve"> possível estratégia de tratamento de riscos (baseada em Canongia e outros, 2010), que pode ser modificada pelo Gestor de Riscos: 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Risco Muito Baixo (MB): risco tolerável, nenhuma ação é necessária; 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o Risco Baixo (B): risco tolerável, nenhuma ação ime</w:t>
      </w:r>
      <w:r>
        <w:rPr>
          <w:sz w:val="24"/>
          <w:szCs w:val="24"/>
        </w:rPr>
        <w:t>diata é necessária, porém o risco deve ser monitorado; Recomenda-se tratar os riscos nesta classe apenas se restrições (como custo e esforço de tratamento) não forem significativas.</w:t>
      </w: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Risco Moderado (M): situação de atenção. Se possível o risco deve ser trat</w:t>
      </w:r>
      <w:r>
        <w:rPr>
          <w:sz w:val="24"/>
          <w:szCs w:val="24"/>
        </w:rPr>
        <w:t>ado em médio prazo. O risco deve monitorado frequentemente;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Restrições (como custo e esforço de tratamento) podem ser consideradas para priorizar o tratamento de riscos nessa classe. 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o Risco Alto (A): risco intolerável, situação de grande preocupação. Ações devem ser tomadas rapidamente e os resultados precisam ser monitorados frequentemente para avaliar se a situação mudou com as ações. Recomenda-se o tratamento de riscos independente</w:t>
      </w:r>
      <w:r>
        <w:rPr>
          <w:sz w:val="24"/>
          <w:szCs w:val="24"/>
        </w:rPr>
        <w:t xml:space="preserve">mente de restrições (como custo e esforço de tratamento). </w:t>
      </w:r>
    </w:p>
    <w:p w:rsidR="005975D3" w:rsidRDefault="005975D3">
      <w:pPr>
        <w:jc w:val="both"/>
        <w:rPr>
          <w:sz w:val="24"/>
          <w:szCs w:val="24"/>
        </w:rPr>
      </w:pPr>
    </w:p>
    <w:p w:rsidR="005975D3" w:rsidRDefault="00835627">
      <w:pPr>
        <w:jc w:val="both"/>
        <w:rPr>
          <w:sz w:val="24"/>
          <w:szCs w:val="24"/>
        </w:rPr>
      </w:pPr>
      <w:r>
        <w:rPr>
          <w:sz w:val="24"/>
          <w:szCs w:val="24"/>
        </w:rPr>
        <w:t>o Risco Muito Alto (MA): risco intolerável. Requer ações de tratamento imediatas. As ações devem ser monitoradas continuamente para avaliar se os efeitos são os esperados. Os riscos devem ser trat</w:t>
      </w:r>
      <w:r>
        <w:rPr>
          <w:sz w:val="24"/>
          <w:szCs w:val="24"/>
        </w:rPr>
        <w:t xml:space="preserve">ados independentemente de restrições (como custo e esforço de tratamento). </w:t>
      </w:r>
    </w:p>
    <w:p w:rsidR="005975D3" w:rsidRDefault="005975D3"/>
    <w:p w:rsidR="00723D5A" w:rsidRDefault="00723D5A" w:rsidP="00723D5A">
      <w:pPr>
        <w:jc w:val="both"/>
        <w:rPr>
          <w:sz w:val="24"/>
          <w:szCs w:val="24"/>
        </w:rPr>
      </w:pPr>
      <w:r>
        <w:rPr>
          <w:sz w:val="24"/>
          <w:szCs w:val="24"/>
        </w:rPr>
        <w:t>A T</w:t>
      </w:r>
      <w:r>
        <w:rPr>
          <w:sz w:val="24"/>
          <w:szCs w:val="24"/>
        </w:rPr>
        <w:t>abela</w:t>
      </w:r>
      <w:r>
        <w:rPr>
          <w:sz w:val="24"/>
          <w:szCs w:val="24"/>
          <w:lang w:val="pt-BR"/>
        </w:rPr>
        <w:t xml:space="preserve"> abaixo</w:t>
      </w:r>
      <w:r>
        <w:rPr>
          <w:sz w:val="24"/>
          <w:szCs w:val="24"/>
        </w:rPr>
        <w:t xml:space="preserve"> apresenta um formulário para a parametrização de critério de tratamento e de aceitação de riscos. Para cada classe de consequência devem ser definidos: os valores limites de risco (inferior e superior) para a classe, e as ações a serem tomadas para tratar os riscos da classe. </w:t>
      </w:r>
    </w:p>
    <w:p w:rsidR="00723D5A" w:rsidRDefault="00723D5A" w:rsidP="00723D5A">
      <w:pPr>
        <w:rPr>
          <w:sz w:val="24"/>
          <w:szCs w:val="24"/>
        </w:rPr>
      </w:pPr>
    </w:p>
    <w:tbl>
      <w:tblPr>
        <w:tblStyle w:val="a"/>
        <w:tblW w:w="942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</w:tblPr>
      <w:tblGrid>
        <w:gridCol w:w="2235"/>
        <w:gridCol w:w="2235"/>
        <w:gridCol w:w="2235"/>
        <w:gridCol w:w="2715"/>
      </w:tblGrid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942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Parametrização de critério de tratamento e de aceitação de riscos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223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Classe de Riscos</w:t>
            </w:r>
          </w:p>
        </w:tc>
        <w:tc>
          <w:tcPr>
            <w:tcW w:w="447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Valores Limites de Risco</w:t>
            </w:r>
          </w:p>
        </w:tc>
        <w:tc>
          <w:tcPr>
            <w:tcW w:w="2715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Ações a serem tomadas no tratamento de riscos.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22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Limite Inferior (I)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Limite Superior (S) </w:t>
            </w:r>
          </w:p>
        </w:tc>
        <w:tc>
          <w:tcPr>
            <w:tcW w:w="27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Muito Baixo (MB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(MB-I)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(MB-S)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Ações para a classe de ricos MB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Baixo (B) 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(B-I)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(B-S)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Ações para a classe de ricos B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Moderado (M)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Risco (M-I) 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Risco (M-S) 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Ações para a classe de ricos M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Alto (A) 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(A-I)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Risco (A-S) 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Ações para a classe de ricos A 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Muito Alto (MA)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(MA-I)</w:t>
            </w:r>
          </w:p>
        </w:tc>
        <w:tc>
          <w:tcPr>
            <w:tcW w:w="2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Risco (MA-S)</w:t>
            </w:r>
          </w:p>
        </w:tc>
        <w:tc>
          <w:tcPr>
            <w:tcW w:w="27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Ações para a classe de ricos MA</w:t>
            </w:r>
          </w:p>
        </w:tc>
      </w:tr>
      <w:tr w:rsidR="00723D5A" w:rsidTr="000A4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9420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Responsável pela informação: </w:t>
            </w:r>
          </w:p>
          <w:p w:rsidR="00723D5A" w:rsidRDefault="00723D5A" w:rsidP="000A452A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Data: </w:t>
            </w:r>
          </w:p>
        </w:tc>
      </w:tr>
    </w:tbl>
    <w:p w:rsidR="00723D5A" w:rsidRDefault="00723D5A" w:rsidP="00723D5A">
      <w:pPr>
        <w:rPr>
          <w:sz w:val="24"/>
          <w:szCs w:val="24"/>
        </w:rPr>
      </w:pPr>
    </w:p>
    <w:p w:rsidR="00723D5A" w:rsidRDefault="00723D5A"/>
    <w:sectPr w:rsidR="00723D5A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627" w:rsidRDefault="00835627" w:rsidP="002B2E0E">
      <w:pPr>
        <w:spacing w:line="240" w:lineRule="auto"/>
      </w:pPr>
      <w:r>
        <w:separator/>
      </w:r>
    </w:p>
  </w:endnote>
  <w:endnote w:type="continuationSeparator" w:id="0">
    <w:p w:rsidR="00835627" w:rsidRDefault="00835627" w:rsidP="002B2E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627" w:rsidRDefault="00835627" w:rsidP="002B2E0E">
      <w:pPr>
        <w:spacing w:line="240" w:lineRule="auto"/>
      </w:pPr>
      <w:r>
        <w:separator/>
      </w:r>
    </w:p>
  </w:footnote>
  <w:footnote w:type="continuationSeparator" w:id="0">
    <w:p w:rsidR="00835627" w:rsidRDefault="00835627" w:rsidP="002B2E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E0E" w:rsidRDefault="002B2E0E">
    <w:pPr>
      <w:pStyle w:val="Cabealho"/>
    </w:pPr>
  </w:p>
  <w:p w:rsidR="002B2E0E" w:rsidRDefault="002B2E0E" w:rsidP="002B2E0E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062F422" wp14:editId="4F3CA3E7">
          <wp:extent cx="723903" cy="431797"/>
          <wp:effectExtent l="0" t="0" r="0" b="6353"/>
          <wp:docPr id="1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3" cy="4317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2B2E0E" w:rsidRDefault="002B2E0E" w:rsidP="002B2E0E">
    <w:pPr>
      <w:pStyle w:val="Cabealho"/>
      <w:jc w:val="right"/>
      <w:rPr>
        <w:rFonts w:ascii="Calibri" w:eastAsia="Times New Roman" w:hAnsi="Calibri" w:cs="Times New Roman"/>
        <w:sz w:val="28"/>
      </w:rPr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B33091" w:rsidRDefault="00B33091" w:rsidP="00B33091">
    <w:pPr>
      <w:rPr>
        <w:b/>
        <w:color w:val="7F7F7F" w:themeColor="text1" w:themeTint="80"/>
      </w:rPr>
    </w:pPr>
  </w:p>
  <w:p w:rsidR="00B33091" w:rsidRPr="00B33091" w:rsidRDefault="00B33091" w:rsidP="00B33091">
    <w:pPr>
      <w:rPr>
        <w:b/>
        <w:color w:val="auto"/>
      </w:rPr>
    </w:pPr>
    <w:r w:rsidRPr="00B33091">
      <w:rPr>
        <w:b/>
        <w:color w:val="auto"/>
      </w:rPr>
      <w:t>[ TEMPLATE FORMULÁRIO DE CATEGORIAS E PARÂMETROS DE RISCOS DE SI ]</w:t>
    </w:r>
  </w:p>
  <w:p w:rsidR="002B2E0E" w:rsidRDefault="002B2E0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975D3"/>
    <w:rsid w:val="001D0949"/>
    <w:rsid w:val="0020009B"/>
    <w:rsid w:val="002B17BE"/>
    <w:rsid w:val="002B2E0E"/>
    <w:rsid w:val="003A1C9E"/>
    <w:rsid w:val="004D1254"/>
    <w:rsid w:val="005975D3"/>
    <w:rsid w:val="005C6758"/>
    <w:rsid w:val="00723D5A"/>
    <w:rsid w:val="00835627"/>
    <w:rsid w:val="00B33091"/>
    <w:rsid w:val="00CC60B3"/>
    <w:rsid w:val="00E74AB0"/>
    <w:rsid w:val="00E87110"/>
    <w:rsid w:val="00FA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75047"/>
  <w15:docId w15:val="{63C83D2B-ACAC-48D9-A0B7-F1A6BD1A1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nhideWhenUsed/>
    <w:rsid w:val="002B2E0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B2E0E"/>
  </w:style>
  <w:style w:type="paragraph" w:styleId="Rodap">
    <w:name w:val="footer"/>
    <w:basedOn w:val="Normal"/>
    <w:link w:val="RodapChar"/>
    <w:uiPriority w:val="99"/>
    <w:unhideWhenUsed/>
    <w:rsid w:val="002B2E0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2E0E"/>
  </w:style>
  <w:style w:type="paragraph" w:customStyle="1" w:styleId="Standard">
    <w:name w:val="Standard"/>
    <w:rsid w:val="002B2E0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val="pt-BR" w:eastAsia="zh-CN" w:bidi="hi-IN"/>
    </w:rPr>
  </w:style>
  <w:style w:type="paragraph" w:customStyle="1" w:styleId="TableContents">
    <w:name w:val="Table Contents"/>
    <w:basedOn w:val="Standard"/>
    <w:rsid w:val="002B2E0E"/>
    <w:pPr>
      <w:suppressLineNumbers/>
    </w:pPr>
    <w:rPr>
      <w:rFonts w:ascii="Calibri" w:hAnsi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625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16</cp:revision>
  <dcterms:created xsi:type="dcterms:W3CDTF">2017-07-31T16:46:00Z</dcterms:created>
  <dcterms:modified xsi:type="dcterms:W3CDTF">2017-07-31T17:03:00Z</dcterms:modified>
</cp:coreProperties>
</file>