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F" w:rsidRDefault="000D216F">
      <w:pPr>
        <w:rPr>
          <w:b/>
        </w:rPr>
      </w:pPr>
    </w:p>
    <w:p w:rsidR="000D216F" w:rsidRDefault="000D216F" w:rsidP="00CD135A">
      <w:pPr>
        <w:jc w:val="center"/>
        <w:rPr>
          <w:b/>
        </w:rPr>
      </w:pPr>
    </w:p>
    <w:p w:rsidR="000D216F" w:rsidRPr="00AB78BA" w:rsidRDefault="002C1D82" w:rsidP="00AB78BA">
      <w:pPr>
        <w:autoSpaceDE w:val="0"/>
        <w:adjustRightInd w:val="0"/>
        <w:jc w:val="center"/>
        <w:rPr>
          <w:color w:val="FF0000"/>
        </w:rPr>
      </w:pPr>
      <w:r>
        <w:rPr>
          <w:b/>
        </w:rPr>
        <w:t xml:space="preserve">[ </w:t>
      </w:r>
      <w:r w:rsidR="00894BCD">
        <w:rPr>
          <w:b/>
        </w:rPr>
        <w:t xml:space="preserve">TEMPLATE DO </w:t>
      </w:r>
      <w:r w:rsidR="000F7913" w:rsidRPr="00894BCD">
        <w:rPr>
          <w:b/>
        </w:rPr>
        <w:t>M</w:t>
      </w:r>
      <w:r w:rsidR="000F7913">
        <w:rPr>
          <w:b/>
        </w:rPr>
        <w:t>ODELO</w:t>
      </w:r>
      <w:r w:rsidR="000F7913" w:rsidRPr="002A2360">
        <w:rPr>
          <w:color w:val="FF0000"/>
        </w:rPr>
        <w:t xml:space="preserve"> </w:t>
      </w:r>
      <w:r w:rsidR="000F7913" w:rsidRPr="00AB78BA">
        <w:rPr>
          <w:b/>
        </w:rPr>
        <w:t xml:space="preserve">DE </w:t>
      </w:r>
      <w:r w:rsidR="00036210">
        <w:rPr>
          <w:b/>
        </w:rPr>
        <w:t>CRONOGRAMA DE ELABORAÇÃO DO PDTI</w:t>
      </w:r>
      <w:r>
        <w:rPr>
          <w:b/>
        </w:rPr>
        <w:t>]</w:t>
      </w:r>
    </w:p>
    <w:p w:rsidR="000D216F" w:rsidRDefault="000D216F" w:rsidP="00CD135A">
      <w:pPr>
        <w:jc w:val="center"/>
        <w:rPr>
          <w:b/>
        </w:rPr>
      </w:pPr>
    </w:p>
    <w:p w:rsidR="00CD135A" w:rsidRDefault="00CD135A" w:rsidP="00CD135A">
      <w:pPr>
        <w:jc w:val="center"/>
        <w:rPr>
          <w:b/>
        </w:rPr>
      </w:pPr>
      <w:r>
        <w:rPr>
          <w:b/>
        </w:rPr>
        <w:t>Objetivo</w:t>
      </w:r>
    </w:p>
    <w:p w:rsidR="00CD135A" w:rsidRDefault="00CD135A" w:rsidP="00CD135A">
      <w:pPr>
        <w:jc w:val="center"/>
        <w:rPr>
          <w:b/>
        </w:rPr>
      </w:pPr>
    </w:p>
    <w:p w:rsidR="009B16F5" w:rsidRPr="00D56C29" w:rsidRDefault="009B16F5" w:rsidP="009B16F5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  <w:r w:rsidRPr="00D56C29">
        <w:rPr>
          <w:rFonts w:eastAsia="SimSun"/>
        </w:rPr>
        <w:t xml:space="preserve">O objetivo do </w:t>
      </w:r>
      <w:r w:rsidR="009F65AA">
        <w:rPr>
          <w:rFonts w:eastAsia="SimSun"/>
        </w:rPr>
        <w:t>cronograma</w:t>
      </w:r>
      <w:r w:rsidR="00F233CD">
        <w:rPr>
          <w:rFonts w:eastAsia="SimSun"/>
        </w:rPr>
        <w:t xml:space="preserve"> é detalhar todas as atividades com seus respectivos prazos e responsáveis pela execução para que o Comitê de TI acompanhe o andamento das atividades </w:t>
      </w:r>
      <w:r w:rsidR="00AB59E0">
        <w:rPr>
          <w:rFonts w:eastAsia="SimSun"/>
        </w:rPr>
        <w:t>do Grupo de Trabalho na elaboração do PDTI.</w:t>
      </w:r>
    </w:p>
    <w:p w:rsidR="00CD135A" w:rsidRDefault="00CD135A" w:rsidP="00CD135A">
      <w:pPr>
        <w:jc w:val="both"/>
        <w:rPr>
          <w:sz w:val="20"/>
          <w:szCs w:val="20"/>
          <w:highlight w:val="white"/>
        </w:rPr>
      </w:pPr>
    </w:p>
    <w:p w:rsidR="00E759AD" w:rsidRDefault="005B357B" w:rsidP="009E5FE9">
      <w:pPr>
        <w:jc w:val="center"/>
        <w:rPr>
          <w:b/>
        </w:rPr>
      </w:pPr>
      <w:r>
        <w:rPr>
          <w:b/>
        </w:rPr>
        <w:t>Vigência do Plano Diretor TIC</w:t>
      </w:r>
    </w:p>
    <w:p w:rsidR="005B357B" w:rsidRDefault="005B357B" w:rsidP="00CD135A">
      <w:pPr>
        <w:jc w:val="both"/>
      </w:pPr>
    </w:p>
    <w:p w:rsidR="00E759AD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período de vigência do Plano Diretor de TIC &gt;</w:t>
      </w:r>
    </w:p>
    <w:p w:rsidR="009E5FE9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9E5FE9" w:rsidRPr="009E5FE9" w:rsidRDefault="009E5FE9" w:rsidP="009E5FE9">
      <w:pPr>
        <w:jc w:val="center"/>
        <w:rPr>
          <w:b/>
        </w:rPr>
      </w:pPr>
      <w:r w:rsidRPr="009E5FE9">
        <w:rPr>
          <w:b/>
        </w:rPr>
        <w:t>Elaborado por:</w:t>
      </w:r>
    </w:p>
    <w:p w:rsidR="009E5FE9" w:rsidRDefault="009E5FE9" w:rsidP="00CD135A">
      <w:pPr>
        <w:jc w:val="both"/>
      </w:pPr>
    </w:p>
    <w:p w:rsidR="009E5FE9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pela elaboração do </w:t>
      </w:r>
      <w:r w:rsidR="00036B8E">
        <w:rPr>
          <w:rFonts w:ascii="Verdana" w:eastAsia="Verdana" w:hAnsi="Verdana" w:cs="Verdana"/>
          <w:b/>
          <w:color w:val="0000FF"/>
          <w:sz w:val="20"/>
          <w:szCs w:val="20"/>
        </w:rPr>
        <w:t>cronograma</w:t>
      </w: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&gt;</w:t>
      </w:r>
    </w:p>
    <w:p w:rsidR="00A42772" w:rsidRPr="00A42772" w:rsidRDefault="00E638AB" w:rsidP="00A42772">
      <w:pPr>
        <w:jc w:val="center"/>
        <w:rPr>
          <w:b/>
        </w:rPr>
      </w:pPr>
      <w:r w:rsidRPr="00A42772">
        <w:rPr>
          <w:b/>
        </w:rPr>
        <w:t>Revisado por</w:t>
      </w:r>
      <w:r w:rsidR="00A42772" w:rsidRPr="00A42772">
        <w:rPr>
          <w:b/>
        </w:rPr>
        <w:t>:</w:t>
      </w:r>
    </w:p>
    <w:p w:rsidR="00A42772" w:rsidRDefault="00A42772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A42772" w:rsidRPr="004A1A5B" w:rsidRDefault="00903D19" w:rsidP="00A42772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A42772">
        <w:rPr>
          <w:rFonts w:ascii="Verdana" w:eastAsia="Times New Roman" w:hAnsi="Verdana"/>
          <w:i/>
          <w:iCs/>
          <w:color w:val="0000FF"/>
          <w:sz w:val="20"/>
          <w:szCs w:val="20"/>
        </w:rPr>
        <w:t>&lt;</w:t>
      </w:r>
      <w:proofErr w:type="gramStart"/>
      <w:r w:rsidRPr="004A1A5B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="00A42772" w:rsidRP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pela </w:t>
      </w:r>
      <w:r w:rsidR="00036B8E">
        <w:rPr>
          <w:rFonts w:ascii="Verdana" w:eastAsia="Verdana" w:hAnsi="Verdana" w:cs="Verdana"/>
          <w:b/>
          <w:color w:val="0000FF"/>
          <w:sz w:val="20"/>
          <w:szCs w:val="20"/>
        </w:rPr>
        <w:t xml:space="preserve">revisão e aprovação </w:t>
      </w:r>
      <w:r w:rsidR="00036B8E"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do </w:t>
      </w:r>
      <w:r w:rsidR="00036B8E">
        <w:rPr>
          <w:rFonts w:ascii="Verdana" w:eastAsia="Verdana" w:hAnsi="Verdana" w:cs="Verdana"/>
          <w:b/>
          <w:color w:val="0000FF"/>
          <w:sz w:val="20"/>
          <w:szCs w:val="20"/>
        </w:rPr>
        <w:t>cronograma</w:t>
      </w:r>
      <w:r w:rsidR="00311881" w:rsidRP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 </w:t>
      </w:r>
      <w:r w:rsidR="00A42772" w:rsidRPr="004A1A5B">
        <w:rPr>
          <w:rFonts w:ascii="Verdana" w:eastAsia="Verdana" w:hAnsi="Verdana" w:cs="Verdana"/>
          <w:b/>
          <w:color w:val="0000FF"/>
          <w:sz w:val="20"/>
          <w:szCs w:val="20"/>
        </w:rPr>
        <w:t>&gt;</w:t>
      </w:r>
    </w:p>
    <w:p w:rsidR="00A42772" w:rsidRPr="009E5FE9" w:rsidRDefault="00A42772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0F326E" w:rsidRDefault="0074180E" w:rsidP="00D477AB">
      <w:pPr>
        <w:jc w:val="center"/>
        <w:rPr>
          <w:b/>
        </w:rPr>
      </w:pPr>
      <w:r>
        <w:rPr>
          <w:b/>
        </w:rPr>
        <w:t>Cronograma de Atividades do PDTI</w:t>
      </w:r>
    </w:p>
    <w:p w:rsidR="000D66BC" w:rsidRDefault="000D66BC">
      <w:pPr>
        <w:rPr>
          <w:b/>
        </w:rPr>
      </w:pPr>
    </w:p>
    <w:p w:rsidR="004A1A5B" w:rsidRPr="004A1A5B" w:rsidRDefault="00903D19" w:rsidP="004A1A5B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="004A1A5B"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 </w:t>
      </w:r>
      <w:r w:rsidR="0074180E">
        <w:rPr>
          <w:rFonts w:ascii="Verdana" w:eastAsia="Verdana" w:hAnsi="Verdana" w:cs="Verdana"/>
          <w:b/>
          <w:color w:val="0000FF"/>
          <w:sz w:val="20"/>
          <w:szCs w:val="20"/>
        </w:rPr>
        <w:t>o cronograma de atividades</w:t>
      </w:r>
      <w:r w:rsid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&gt; </w:t>
      </w:r>
    </w:p>
    <w:p w:rsidR="004A1A5B" w:rsidRDefault="004A1A5B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3"/>
      </w:tblGrid>
      <w:tr w:rsidR="007B59FC" w:rsidTr="007B59FC"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  <w:r>
              <w:rPr>
                <w:b/>
              </w:rPr>
              <w:t xml:space="preserve">Atividade </w:t>
            </w: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  <w:r>
              <w:rPr>
                <w:b/>
              </w:rPr>
              <w:t>Data de Início</w:t>
            </w: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  <w:r>
              <w:rPr>
                <w:b/>
              </w:rPr>
              <w:t>Data de Término</w:t>
            </w:r>
          </w:p>
        </w:tc>
        <w:tc>
          <w:tcPr>
            <w:tcW w:w="2293" w:type="dxa"/>
          </w:tcPr>
          <w:p w:rsidR="007B59FC" w:rsidRDefault="007B59FC">
            <w:pPr>
              <w:rPr>
                <w:b/>
              </w:rPr>
            </w:pPr>
            <w:r>
              <w:rPr>
                <w:b/>
              </w:rPr>
              <w:t>Responsável</w:t>
            </w:r>
          </w:p>
        </w:tc>
      </w:tr>
      <w:tr w:rsidR="007B59FC" w:rsidTr="007B59FC"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3" w:type="dxa"/>
          </w:tcPr>
          <w:p w:rsidR="007B59FC" w:rsidRDefault="007B59FC">
            <w:pPr>
              <w:rPr>
                <w:b/>
              </w:rPr>
            </w:pPr>
          </w:p>
        </w:tc>
      </w:tr>
      <w:tr w:rsidR="007B59FC" w:rsidTr="007B59FC"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3" w:type="dxa"/>
          </w:tcPr>
          <w:p w:rsidR="007B59FC" w:rsidRDefault="007B59FC">
            <w:pPr>
              <w:rPr>
                <w:b/>
              </w:rPr>
            </w:pPr>
          </w:p>
        </w:tc>
      </w:tr>
      <w:tr w:rsidR="007B59FC" w:rsidTr="007B59FC"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2" w:type="dxa"/>
          </w:tcPr>
          <w:p w:rsidR="007B59FC" w:rsidRDefault="007B59FC">
            <w:pPr>
              <w:rPr>
                <w:b/>
              </w:rPr>
            </w:pPr>
          </w:p>
        </w:tc>
        <w:tc>
          <w:tcPr>
            <w:tcW w:w="2293" w:type="dxa"/>
          </w:tcPr>
          <w:p w:rsidR="007B59FC" w:rsidRDefault="007B59FC">
            <w:pPr>
              <w:rPr>
                <w:b/>
              </w:rPr>
            </w:pPr>
          </w:p>
        </w:tc>
      </w:tr>
    </w:tbl>
    <w:p w:rsidR="000F326E" w:rsidRDefault="000F326E">
      <w:pPr>
        <w:rPr>
          <w:b/>
        </w:rPr>
      </w:pPr>
    </w:p>
    <w:p w:rsidR="000D216F" w:rsidRDefault="000D216F"/>
    <w:p w:rsidR="00AE7DB3" w:rsidRDefault="002C1D82" w:rsidP="00AE7DB3">
      <w:pPr>
        <w:pStyle w:val="Standard"/>
        <w:jc w:val="center"/>
        <w:rPr>
          <w:color w:val="0000FF"/>
        </w:rPr>
      </w:pPr>
      <w:r>
        <w:rPr>
          <w:color w:val="0000FF"/>
        </w:rPr>
        <w:t xml:space="preserve">                                                                </w:t>
      </w:r>
      <w:r w:rsidR="00AE7DB3">
        <w:rPr>
          <w:color w:val="0000FF"/>
        </w:rPr>
        <w:t>&lt;Nome completo do Presidente do Comitê de TI &gt;</w:t>
      </w:r>
    </w:p>
    <w:p w:rsidR="008A5C84" w:rsidRDefault="008A5C84" w:rsidP="00AE7DB3">
      <w:pPr>
        <w:pStyle w:val="Standard"/>
        <w:spacing w:after="120"/>
        <w:ind w:left="2880" w:firstLine="720"/>
        <w:jc w:val="center"/>
        <w:rPr>
          <w:color w:val="0000FF"/>
        </w:rPr>
      </w:pPr>
    </w:p>
    <w:p w:rsidR="00AE7DB3" w:rsidRDefault="00AE7DB3" w:rsidP="00AE7DB3">
      <w:pPr>
        <w:pStyle w:val="Standard"/>
        <w:spacing w:after="120"/>
        <w:ind w:left="2880" w:firstLine="720"/>
        <w:jc w:val="center"/>
        <w:rPr>
          <w:color w:val="0000FF"/>
        </w:rPr>
      </w:pPr>
      <w:r>
        <w:rPr>
          <w:color w:val="0000FF"/>
        </w:rPr>
        <w:t>&lt;Cargo do Presidente do Comitê de TI da Estatal &gt;</w:t>
      </w:r>
    </w:p>
    <w:p w:rsidR="000D216F" w:rsidRDefault="000D216F"/>
    <w:p w:rsidR="00EA684B" w:rsidRDefault="00EA684B"/>
    <w:p w:rsidR="00A43685" w:rsidRDefault="00A43685"/>
    <w:p w:rsidR="00A43685" w:rsidRDefault="00A43685"/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C51EF0" w:rsidRDefault="00C51EF0" w:rsidP="00C51EF0">
      <w:pPr>
        <w:pStyle w:val="Rodap"/>
        <w:jc w:val="both"/>
      </w:pPr>
      <w:r>
        <w:rPr>
          <w:b/>
        </w:rPr>
        <w:t>Observações:</w:t>
      </w:r>
      <w:r>
        <w:t xml:space="preserve"> </w:t>
      </w:r>
    </w:p>
    <w:p w:rsidR="00B6111D" w:rsidRDefault="00B6111D" w:rsidP="00B6111D">
      <w:pPr>
        <w:spacing w:line="240" w:lineRule="auto"/>
        <w:jc w:val="both"/>
        <w:rPr>
          <w:rFonts w:ascii="Verdana" w:eastAsia="Times New Roman" w:hAnsi="Verdana"/>
          <w:b/>
          <w:bCs/>
          <w:sz w:val="28"/>
          <w:szCs w:val="28"/>
        </w:rPr>
      </w:pPr>
    </w:p>
    <w:p w:rsidR="000A2467" w:rsidRDefault="00993B72" w:rsidP="00993B72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  <w:r>
        <w:rPr>
          <w:rFonts w:eastAsia="SimSun"/>
        </w:rPr>
        <w:t>O cronograma deve conter todas as etapas da fase de preparação, diagnóstico e planejamento previstas na elaboração do PDTI. As quais no mínimo são apresentadas abaixo:</w:t>
      </w:r>
    </w:p>
    <w:p w:rsidR="00993B72" w:rsidRDefault="00993B72" w:rsidP="00993B72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</w:p>
    <w:p w:rsidR="00993B72" w:rsidRDefault="00993B72" w:rsidP="00993B72">
      <w:pPr>
        <w:autoSpaceDE w:val="0"/>
        <w:autoSpaceDN w:val="0"/>
        <w:adjustRightInd w:val="0"/>
        <w:spacing w:line="240" w:lineRule="auto"/>
        <w:jc w:val="both"/>
      </w:pPr>
      <w:r>
        <w:t xml:space="preserve">As atividades que compõem o processo de Preparação são: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 xml:space="preserve">Definir abrangência e período do PDTIC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>Definir a</w:t>
      </w:r>
      <w:r>
        <w:t xml:space="preserve"> Equipe de Elaboração do PDTIC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 xml:space="preserve">Descrever a metodologia de elaboração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 xml:space="preserve">Consolidar documentos de referência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 xml:space="preserve">Identificar estratégias da organização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>Ident</w:t>
      </w:r>
      <w:r>
        <w:t xml:space="preserve">ificar princípios e diretrizes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 xml:space="preserve">Elaborar o Plano de Trabalho do PDTIC </w:t>
      </w:r>
    </w:p>
    <w:p w:rsidR="00993B72" w:rsidRDefault="00993B72" w:rsidP="00993B7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>
        <w:t>Aprovar o PT-PDTIC</w:t>
      </w:r>
    </w:p>
    <w:p w:rsidR="00993B72" w:rsidRDefault="00993B72" w:rsidP="00993B72">
      <w:pPr>
        <w:autoSpaceDE w:val="0"/>
        <w:autoSpaceDN w:val="0"/>
        <w:adjustRightInd w:val="0"/>
        <w:spacing w:line="240" w:lineRule="auto"/>
        <w:jc w:val="both"/>
      </w:pPr>
    </w:p>
    <w:p w:rsidR="00547D3D" w:rsidRDefault="00993B72" w:rsidP="00993B72">
      <w:pPr>
        <w:autoSpaceDE w:val="0"/>
        <w:autoSpaceDN w:val="0"/>
        <w:adjustRightInd w:val="0"/>
        <w:spacing w:line="240" w:lineRule="auto"/>
        <w:jc w:val="both"/>
      </w:pPr>
      <w:r>
        <w:t xml:space="preserve">As atividades que compõem o processo de Diagnóstico são: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Analisar resultados do PDTIC anterior;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Analisar o referencial estratégico de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Analisar a organização da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Realizar Análise SWOT da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Estimar a capacidade da execução da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Planejar o levantamento das necessidades;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Identificar necessidades de Informação;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Identificar necessidades de Serviços de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Identificar necessidades de Infraestrutura de TIC;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Identificar necessidades de Contratação de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Identificar necessidades de Pessoal de TIC;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Consolidar o Inventário de Necessidades; </w:t>
      </w:r>
    </w:p>
    <w:p w:rsidR="00547D3D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Alinhar as necessidades de TIC às estratégias da organização; </w:t>
      </w:r>
    </w:p>
    <w:p w:rsidR="00993B72" w:rsidRDefault="00993B72" w:rsidP="00547D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Aprovar o Inventário de Necessidades.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As atividades que compõem o </w:t>
      </w:r>
      <w:r>
        <w:t>p</w:t>
      </w:r>
      <w:r>
        <w:t xml:space="preserve">rocesso de planejamento são: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Atualizar critérios de priorização;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Priorizar as necessidades inventariadas;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Definir metas e ações;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Planejar ações de pessoal;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>Planejar orçamento das ações do PDTIC;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Identificar os fatores críticos de sucesso;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Planejar o gerenciamento de riscos;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Consolidar a Minuta do PDTIC;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 xml:space="preserve">Aprovar a Minuta do PDTIC; </w:t>
      </w:r>
    </w:p>
    <w:p w:rsidR="00547D3D" w:rsidRDefault="00547D3D" w:rsidP="00547D3D">
      <w:pPr>
        <w:autoSpaceDE w:val="0"/>
        <w:autoSpaceDN w:val="0"/>
        <w:adjustRightInd w:val="0"/>
        <w:spacing w:line="240" w:lineRule="auto"/>
        <w:jc w:val="both"/>
      </w:pPr>
      <w:r>
        <w:t>Publicar o PDTIC.</w:t>
      </w:r>
    </w:p>
    <w:p w:rsidR="00993B72" w:rsidRDefault="00993B72" w:rsidP="00993B72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</w:p>
    <w:p w:rsidR="008148B1" w:rsidRDefault="000A2467" w:rsidP="008148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SimSun"/>
        </w:rPr>
      </w:pPr>
      <w:r>
        <w:rPr>
          <w:rFonts w:eastAsia="SimSun"/>
        </w:rPr>
        <w:t xml:space="preserve">Exemplo de um </w:t>
      </w:r>
      <w:r w:rsidR="00344D47">
        <w:rPr>
          <w:rFonts w:eastAsia="SimSun"/>
        </w:rPr>
        <w:t>Cronograma de Execução do PDTI</w:t>
      </w:r>
      <w:r>
        <w:rPr>
          <w:rFonts w:eastAsia="SimSun"/>
        </w:rPr>
        <w:t>:</w:t>
      </w:r>
    </w:p>
    <w:p w:rsidR="00344D47" w:rsidRDefault="00344D47" w:rsidP="008148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SimSun"/>
        </w:rPr>
      </w:pPr>
    </w:p>
    <w:p w:rsidR="00344D47" w:rsidRDefault="00344D47" w:rsidP="008148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SimSun"/>
        </w:rPr>
      </w:pPr>
      <w:r>
        <w:rPr>
          <w:noProof/>
        </w:rPr>
        <w:drawing>
          <wp:inline distT="0" distB="0" distL="0" distR="0" wp14:anchorId="54F9B05D" wp14:editId="6F7B8DEF">
            <wp:extent cx="5733415" cy="322516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8B1" w:rsidRDefault="008148B1" w:rsidP="008148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SimSun"/>
        </w:rPr>
      </w:pPr>
    </w:p>
    <w:p w:rsidR="0034296A" w:rsidRDefault="008148B1" w:rsidP="008148B1">
      <w:pPr>
        <w:autoSpaceDE w:val="0"/>
        <w:autoSpaceDN w:val="0"/>
        <w:adjustRightInd w:val="0"/>
        <w:spacing w:line="240" w:lineRule="auto"/>
        <w:ind w:hanging="851"/>
        <w:jc w:val="both"/>
        <w:rPr>
          <w:rFonts w:ascii="Verdana" w:eastAsia="Times New Roman" w:hAnsi="Verdana"/>
          <w:b/>
          <w:bCs/>
          <w:sz w:val="28"/>
          <w:szCs w:val="28"/>
        </w:rPr>
      </w:pPr>
      <w:bookmarkStart w:id="1" w:name="_GoBack"/>
      <w:bookmarkEnd w:id="1"/>
      <w:r>
        <w:rPr>
          <w:rFonts w:ascii="Verdana" w:eastAsia="Times New Roman" w:hAnsi="Verdana"/>
          <w:b/>
          <w:bCs/>
          <w:sz w:val="28"/>
          <w:szCs w:val="28"/>
        </w:rPr>
        <w:t xml:space="preserve"> </w:t>
      </w:r>
    </w:p>
    <w:sectPr w:rsidR="0034296A" w:rsidSect="000D66BC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FC" w:rsidRDefault="003B58FC" w:rsidP="00561D0F">
      <w:pPr>
        <w:spacing w:line="240" w:lineRule="auto"/>
      </w:pPr>
      <w:r>
        <w:separator/>
      </w:r>
    </w:p>
  </w:endnote>
  <w:endnote w:type="continuationSeparator" w:id="0">
    <w:p w:rsidR="003B58FC" w:rsidRDefault="003B58FC" w:rsidP="0056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FC" w:rsidRDefault="003B58FC" w:rsidP="00561D0F">
      <w:pPr>
        <w:spacing w:line="240" w:lineRule="auto"/>
      </w:pPr>
      <w:bookmarkStart w:id="0" w:name="_Hlk485624758"/>
      <w:bookmarkEnd w:id="0"/>
      <w:r>
        <w:separator/>
      </w:r>
    </w:p>
  </w:footnote>
  <w:footnote w:type="continuationSeparator" w:id="0">
    <w:p w:rsidR="003B58FC" w:rsidRDefault="003B58FC" w:rsidP="00561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2" w:rsidRDefault="00A42772" w:rsidP="00561D0F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</w:t>
    </w:r>
  </w:p>
  <w:p w:rsidR="00A42772" w:rsidRDefault="00A42772" w:rsidP="00561D0F">
    <w:pPr>
      <w:pStyle w:val="Cabealho"/>
      <w:rPr>
        <w:rFonts w:ascii="Calibri" w:eastAsia="Times New Roman" w:hAnsi="Calibri" w:cs="Times New Roman"/>
        <w:b/>
        <w:sz w:val="28"/>
      </w:rPr>
    </w:pPr>
  </w:p>
  <w:p w:rsidR="00A42772" w:rsidRDefault="00A42772" w:rsidP="00853F12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68B24AD2" wp14:editId="1AED3D59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42772" w:rsidRDefault="00A42772" w:rsidP="00853F12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A42772" w:rsidRDefault="00A42772" w:rsidP="00853F12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A42772" w:rsidRDefault="00A42772">
    <w:pPr>
      <w:pStyle w:val="Cabealho"/>
    </w:pPr>
  </w:p>
  <w:p w:rsidR="00A42772" w:rsidRDefault="00A42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6"/>
    <w:multiLevelType w:val="hybridMultilevel"/>
    <w:tmpl w:val="141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4A4"/>
    <w:multiLevelType w:val="hybridMultilevel"/>
    <w:tmpl w:val="45100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E6A39"/>
    <w:multiLevelType w:val="hybridMultilevel"/>
    <w:tmpl w:val="B93CC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7BDC"/>
    <w:multiLevelType w:val="hybridMultilevel"/>
    <w:tmpl w:val="D046B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4D8B"/>
    <w:multiLevelType w:val="hybridMultilevel"/>
    <w:tmpl w:val="14FC4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29B0"/>
    <w:multiLevelType w:val="hybridMultilevel"/>
    <w:tmpl w:val="0A828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16F"/>
    <w:rsid w:val="00036210"/>
    <w:rsid w:val="00036B8E"/>
    <w:rsid w:val="00051DFC"/>
    <w:rsid w:val="00085695"/>
    <w:rsid w:val="000A2467"/>
    <w:rsid w:val="000D216F"/>
    <w:rsid w:val="000D66BC"/>
    <w:rsid w:val="000F326E"/>
    <w:rsid w:val="000F7913"/>
    <w:rsid w:val="001015B2"/>
    <w:rsid w:val="00117E23"/>
    <w:rsid w:val="0017164A"/>
    <w:rsid w:val="0019129F"/>
    <w:rsid w:val="00196DAD"/>
    <w:rsid w:val="001B76DF"/>
    <w:rsid w:val="00276725"/>
    <w:rsid w:val="00291BC3"/>
    <w:rsid w:val="00291BFE"/>
    <w:rsid w:val="002A4BCF"/>
    <w:rsid w:val="002C1D82"/>
    <w:rsid w:val="002D79A1"/>
    <w:rsid w:val="00311881"/>
    <w:rsid w:val="0034296A"/>
    <w:rsid w:val="00344D47"/>
    <w:rsid w:val="003B58FC"/>
    <w:rsid w:val="00401653"/>
    <w:rsid w:val="004065D9"/>
    <w:rsid w:val="004450D5"/>
    <w:rsid w:val="004577EB"/>
    <w:rsid w:val="00470421"/>
    <w:rsid w:val="004A1A5B"/>
    <w:rsid w:val="004C75BD"/>
    <w:rsid w:val="00504581"/>
    <w:rsid w:val="00514DFA"/>
    <w:rsid w:val="00525A06"/>
    <w:rsid w:val="00533F16"/>
    <w:rsid w:val="00547D3D"/>
    <w:rsid w:val="00561D0F"/>
    <w:rsid w:val="005653BD"/>
    <w:rsid w:val="00570F05"/>
    <w:rsid w:val="0058427C"/>
    <w:rsid w:val="005848C5"/>
    <w:rsid w:val="005B291D"/>
    <w:rsid w:val="005B357B"/>
    <w:rsid w:val="005B3BF3"/>
    <w:rsid w:val="005D6E81"/>
    <w:rsid w:val="005E71A5"/>
    <w:rsid w:val="00600064"/>
    <w:rsid w:val="00652E8E"/>
    <w:rsid w:val="006B5F66"/>
    <w:rsid w:val="006D3C3D"/>
    <w:rsid w:val="006E0574"/>
    <w:rsid w:val="00702E21"/>
    <w:rsid w:val="007127FA"/>
    <w:rsid w:val="0073520B"/>
    <w:rsid w:val="0074180E"/>
    <w:rsid w:val="00756D79"/>
    <w:rsid w:val="00762C44"/>
    <w:rsid w:val="00765F34"/>
    <w:rsid w:val="00783E77"/>
    <w:rsid w:val="007951A4"/>
    <w:rsid w:val="007B59FC"/>
    <w:rsid w:val="007D1681"/>
    <w:rsid w:val="0081002D"/>
    <w:rsid w:val="00813BEA"/>
    <w:rsid w:val="008148B1"/>
    <w:rsid w:val="0081659F"/>
    <w:rsid w:val="00836E2A"/>
    <w:rsid w:val="00850900"/>
    <w:rsid w:val="00853F12"/>
    <w:rsid w:val="00894BCD"/>
    <w:rsid w:val="008A4930"/>
    <w:rsid w:val="008A5C84"/>
    <w:rsid w:val="008D74D7"/>
    <w:rsid w:val="008E4320"/>
    <w:rsid w:val="008F4AF4"/>
    <w:rsid w:val="009005FE"/>
    <w:rsid w:val="00903D19"/>
    <w:rsid w:val="009575DA"/>
    <w:rsid w:val="009604C4"/>
    <w:rsid w:val="009617FC"/>
    <w:rsid w:val="00965C1A"/>
    <w:rsid w:val="009735AC"/>
    <w:rsid w:val="00993B72"/>
    <w:rsid w:val="009B16F5"/>
    <w:rsid w:val="009E130A"/>
    <w:rsid w:val="009E2646"/>
    <w:rsid w:val="009E5FE9"/>
    <w:rsid w:val="009F65AA"/>
    <w:rsid w:val="00A177B8"/>
    <w:rsid w:val="00A42772"/>
    <w:rsid w:val="00A43685"/>
    <w:rsid w:val="00A81D4B"/>
    <w:rsid w:val="00A82E9A"/>
    <w:rsid w:val="00AB59E0"/>
    <w:rsid w:val="00AB78BA"/>
    <w:rsid w:val="00AD1301"/>
    <w:rsid w:val="00AE7DB3"/>
    <w:rsid w:val="00B6111D"/>
    <w:rsid w:val="00B6397B"/>
    <w:rsid w:val="00BA310A"/>
    <w:rsid w:val="00BB37BB"/>
    <w:rsid w:val="00BF1BCE"/>
    <w:rsid w:val="00BF3501"/>
    <w:rsid w:val="00C3770E"/>
    <w:rsid w:val="00C51EF0"/>
    <w:rsid w:val="00C612BA"/>
    <w:rsid w:val="00C6358B"/>
    <w:rsid w:val="00C858D7"/>
    <w:rsid w:val="00CC080A"/>
    <w:rsid w:val="00CD0B75"/>
    <w:rsid w:val="00CD135A"/>
    <w:rsid w:val="00D06EB4"/>
    <w:rsid w:val="00D351FE"/>
    <w:rsid w:val="00D477AB"/>
    <w:rsid w:val="00D76FCE"/>
    <w:rsid w:val="00D80BC9"/>
    <w:rsid w:val="00D8526D"/>
    <w:rsid w:val="00DB0506"/>
    <w:rsid w:val="00DD033F"/>
    <w:rsid w:val="00DE0DAA"/>
    <w:rsid w:val="00DE72EF"/>
    <w:rsid w:val="00E06023"/>
    <w:rsid w:val="00E210A2"/>
    <w:rsid w:val="00E21CD4"/>
    <w:rsid w:val="00E3469C"/>
    <w:rsid w:val="00E638AB"/>
    <w:rsid w:val="00E64E40"/>
    <w:rsid w:val="00E759AD"/>
    <w:rsid w:val="00EA684B"/>
    <w:rsid w:val="00F233CD"/>
    <w:rsid w:val="00F3144C"/>
    <w:rsid w:val="00F31D19"/>
    <w:rsid w:val="00F663C7"/>
    <w:rsid w:val="00F70995"/>
    <w:rsid w:val="00FB30B5"/>
    <w:rsid w:val="00FE0793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02FE"/>
  <w15:docId w15:val="{3FF5AA5F-146B-4406-BAC8-0732336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0F"/>
  </w:style>
  <w:style w:type="paragraph" w:styleId="Rodap">
    <w:name w:val="footer"/>
    <w:basedOn w:val="Normal"/>
    <w:link w:val="Rodap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0F"/>
  </w:style>
  <w:style w:type="paragraph" w:customStyle="1" w:styleId="Standard">
    <w:name w:val="Standard"/>
    <w:link w:val="StandardChar"/>
    <w:rsid w:val="00AE7DB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33F16"/>
    <w:pPr>
      <w:ind w:left="720"/>
      <w:contextualSpacing/>
    </w:pPr>
  </w:style>
  <w:style w:type="paragraph" w:customStyle="1" w:styleId="Default">
    <w:name w:val="Default"/>
    <w:rsid w:val="006E0574"/>
    <w:pPr>
      <w:autoSpaceDE w:val="0"/>
      <w:autoSpaceDN w:val="0"/>
      <w:adjustRightInd w:val="0"/>
      <w:spacing w:line="240" w:lineRule="auto"/>
    </w:pPr>
    <w:rPr>
      <w:rFonts w:ascii="Calibri" w:eastAsia="SimSun" w:hAnsi="Calibri" w:cs="Calibri"/>
      <w:sz w:val="24"/>
      <w:szCs w:val="24"/>
    </w:rPr>
  </w:style>
  <w:style w:type="character" w:customStyle="1" w:styleId="StandardChar">
    <w:name w:val="Standard Char"/>
    <w:link w:val="Standard"/>
    <w:rsid w:val="00A82E9A"/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34296A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23</cp:revision>
  <dcterms:created xsi:type="dcterms:W3CDTF">2017-06-19T22:00:00Z</dcterms:created>
  <dcterms:modified xsi:type="dcterms:W3CDTF">2017-06-19T22:25:00Z</dcterms:modified>
</cp:coreProperties>
</file>