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EF9" w:rsidRDefault="00A75EF9"/>
    <w:p w:rsidR="00A75EF9" w:rsidRDefault="00A75EF9"/>
    <w:p w:rsidR="00A75EF9" w:rsidRDefault="00BE7E8E" w:rsidP="00405D06">
      <w:pPr>
        <w:autoSpaceDE w:val="0"/>
        <w:adjustRightInd w:val="0"/>
        <w:rPr>
          <w:b/>
        </w:rPr>
      </w:pPr>
      <w:r>
        <w:t xml:space="preserve">                             </w:t>
      </w:r>
      <w:r w:rsidR="00405D06">
        <w:rPr>
          <w:b/>
        </w:rPr>
        <w:t xml:space="preserve">[ TEMPLATE DO </w:t>
      </w:r>
      <w:r w:rsidR="00405D06" w:rsidRPr="00405D06">
        <w:rPr>
          <w:b/>
        </w:rPr>
        <w:t>MODELO DE L</w:t>
      </w:r>
      <w:r w:rsidR="00405D06">
        <w:rPr>
          <w:b/>
        </w:rPr>
        <w:t>ISTA DE PRINCÍPIOS E DIRETRIZES</w:t>
      </w:r>
      <w:r>
        <w:rPr>
          <w:b/>
        </w:rPr>
        <w:t>]</w:t>
      </w:r>
    </w:p>
    <w:p w:rsidR="00A75EF9" w:rsidRDefault="00A75EF9">
      <w:pPr>
        <w:rPr>
          <w:b/>
        </w:rPr>
      </w:pPr>
    </w:p>
    <w:p w:rsidR="00A75EF9" w:rsidRDefault="00A75EF9">
      <w:pPr>
        <w:rPr>
          <w:b/>
        </w:rPr>
      </w:pPr>
    </w:p>
    <w:p w:rsidR="00A75EF9" w:rsidRDefault="00BE7E8E">
      <w:pPr>
        <w:rPr>
          <w:b/>
        </w:rPr>
      </w:pPr>
      <w:r>
        <w:rPr>
          <w:b/>
        </w:rPr>
        <w:t xml:space="preserve">                       </w:t>
      </w:r>
      <w:r w:rsidR="00405D06">
        <w:rPr>
          <w:b/>
        </w:rPr>
        <w:t xml:space="preserve">                               </w:t>
      </w:r>
      <w:r>
        <w:rPr>
          <w:b/>
        </w:rPr>
        <w:t>Objetivo</w:t>
      </w:r>
      <w:bookmarkStart w:id="0" w:name="_GoBack"/>
      <w:bookmarkEnd w:id="0"/>
    </w:p>
    <w:p w:rsidR="00A75EF9" w:rsidRDefault="00A75EF9">
      <w:pPr>
        <w:rPr>
          <w:b/>
        </w:rPr>
      </w:pPr>
    </w:p>
    <w:p w:rsidR="00A75EF9" w:rsidRDefault="00BE7E8E" w:rsidP="00746053">
      <w:pPr>
        <w:jc w:val="both"/>
        <w:rPr>
          <w:highlight w:val="white"/>
        </w:rPr>
      </w:pPr>
      <w:r>
        <w:t xml:space="preserve">Determinar a </w:t>
      </w:r>
      <w:r>
        <w:rPr>
          <w:highlight w:val="white"/>
        </w:rPr>
        <w:t xml:space="preserve">relação dos princípios e das diretrizes relacionadas à TIC que nortearão a elaboração do PDTI para depois registrá-las no Inventário de </w:t>
      </w:r>
      <w:r w:rsidR="00746053">
        <w:rPr>
          <w:highlight w:val="white"/>
        </w:rPr>
        <w:t>Necessidades.</w:t>
      </w:r>
    </w:p>
    <w:p w:rsidR="00A75EF9" w:rsidRDefault="00A75EF9">
      <w:pPr>
        <w:rPr>
          <w:sz w:val="20"/>
          <w:szCs w:val="20"/>
          <w:highlight w:val="white"/>
        </w:rPr>
      </w:pPr>
    </w:p>
    <w:p w:rsidR="00A75EF9" w:rsidRDefault="00B45BC3">
      <w:pPr>
        <w:rPr>
          <w:rFonts w:ascii="Verdana" w:eastAsia="Verdana" w:hAnsi="Verdana" w:cs="Verdana"/>
          <w:b/>
          <w:color w:val="0000FF"/>
          <w:sz w:val="20"/>
          <w:szCs w:val="20"/>
          <w:highlight w:val="white"/>
        </w:rPr>
      </w:pPr>
      <w:proofErr w:type="gramStart"/>
      <w:r>
        <w:rPr>
          <w:rFonts w:ascii="Verdana" w:eastAsia="Verdana" w:hAnsi="Verdana" w:cs="Verdana"/>
          <w:b/>
          <w:color w:val="0000FF"/>
          <w:sz w:val="20"/>
          <w:szCs w:val="20"/>
          <w:highlight w:val="white"/>
        </w:rPr>
        <w:t>&lt;</w:t>
      </w:r>
      <w:r w:rsidR="005070E3">
        <w:rPr>
          <w:rFonts w:ascii="Verdana" w:eastAsia="Verdana" w:hAnsi="Verdana" w:cs="Verdana"/>
          <w:b/>
          <w:color w:val="0000FF"/>
          <w:sz w:val="20"/>
          <w:szCs w:val="20"/>
          <w:highlight w:val="white"/>
        </w:rPr>
        <w:t>Inserir</w:t>
      </w:r>
      <w:proofErr w:type="gramEnd"/>
      <w:r w:rsidR="00BE7E8E">
        <w:rPr>
          <w:rFonts w:ascii="Verdana" w:eastAsia="Verdana" w:hAnsi="Verdana" w:cs="Verdana"/>
          <w:b/>
          <w:color w:val="0000FF"/>
          <w:sz w:val="20"/>
          <w:szCs w:val="20"/>
          <w:highlight w:val="white"/>
        </w:rPr>
        <w:t xml:space="preserve"> o nome do Setor/Departamento/Secretaria da Estatal&gt;</w:t>
      </w:r>
    </w:p>
    <w:p w:rsidR="00A75EF9" w:rsidRDefault="00A75EF9">
      <w:pPr>
        <w:rPr>
          <w:rFonts w:ascii="Verdana" w:eastAsia="Verdana" w:hAnsi="Verdana" w:cs="Verdana"/>
          <w:b/>
          <w:color w:val="0000FF"/>
          <w:sz w:val="20"/>
          <w:szCs w:val="20"/>
          <w:highlight w:val="white"/>
        </w:rPr>
      </w:pPr>
    </w:p>
    <w:p w:rsidR="00B45BC3" w:rsidRDefault="00B45BC3" w:rsidP="00B45BC3">
      <w:pPr>
        <w:jc w:val="both"/>
        <w:rPr>
          <w:rFonts w:ascii="Verdana" w:eastAsia="Verdana" w:hAnsi="Verdana" w:cs="Verdana"/>
          <w:b/>
          <w:color w:val="0000FF"/>
          <w:sz w:val="20"/>
          <w:szCs w:val="20"/>
          <w:highlight w:val="white"/>
        </w:rPr>
      </w:pPr>
      <w:r>
        <w:rPr>
          <w:rFonts w:ascii="Verdana" w:eastAsia="Verdana" w:hAnsi="Verdana" w:cs="Verdana"/>
          <w:b/>
          <w:color w:val="0000FF"/>
          <w:sz w:val="20"/>
          <w:szCs w:val="20"/>
          <w:highlight w:val="white"/>
        </w:rPr>
        <w:t xml:space="preserve"> </w:t>
      </w:r>
      <w:proofErr w:type="gramStart"/>
      <w:r>
        <w:rPr>
          <w:rFonts w:ascii="Verdana" w:eastAsia="Verdana" w:hAnsi="Verdana" w:cs="Verdana"/>
          <w:b/>
          <w:color w:val="0000FF"/>
          <w:sz w:val="20"/>
          <w:szCs w:val="20"/>
          <w:highlight w:val="white"/>
        </w:rPr>
        <w:t>&lt;</w:t>
      </w:r>
      <w:r w:rsidR="005070E3">
        <w:rPr>
          <w:rFonts w:ascii="Verdana" w:eastAsia="Verdana" w:hAnsi="Verdana" w:cs="Verdana"/>
          <w:b/>
          <w:color w:val="0000FF"/>
          <w:sz w:val="20"/>
          <w:szCs w:val="20"/>
          <w:highlight w:val="white"/>
        </w:rPr>
        <w:t>Inserir</w:t>
      </w:r>
      <w:proofErr w:type="gramEnd"/>
      <w:r>
        <w:rPr>
          <w:rFonts w:ascii="Verdana" w:eastAsia="Verdana" w:hAnsi="Verdana" w:cs="Verdana"/>
          <w:b/>
          <w:color w:val="0000FF"/>
          <w:sz w:val="20"/>
          <w:szCs w:val="20"/>
          <w:highlight w:val="white"/>
        </w:rPr>
        <w:t xml:space="preserve"> a lista dos princípios e diretrizes do Setor/Departamento/Secretaria da Estatal&gt;</w:t>
      </w:r>
    </w:p>
    <w:p w:rsidR="00A75EF9" w:rsidRDefault="00A75EF9">
      <w:pPr>
        <w:rPr>
          <w:rFonts w:ascii="Verdana" w:eastAsia="Verdana" w:hAnsi="Verdana" w:cs="Verdana"/>
          <w:b/>
          <w:color w:val="0000FF"/>
          <w:sz w:val="20"/>
          <w:szCs w:val="20"/>
          <w:highlight w:val="white"/>
        </w:rPr>
      </w:pPr>
    </w:p>
    <w:p w:rsidR="00A75EF9" w:rsidRDefault="00A75EF9">
      <w:pPr>
        <w:rPr>
          <w:rFonts w:ascii="Verdana" w:eastAsia="Verdana" w:hAnsi="Verdana" w:cs="Verdana"/>
          <w:b/>
          <w:color w:val="0000FF"/>
          <w:sz w:val="20"/>
          <w:szCs w:val="20"/>
          <w:highlight w:val="white"/>
        </w:rPr>
      </w:pPr>
    </w:p>
    <w:tbl>
      <w:tblPr>
        <w:tblStyle w:val="a"/>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2370"/>
        <w:gridCol w:w="2100"/>
        <w:gridCol w:w="2279"/>
      </w:tblGrid>
      <w:tr w:rsidR="00A75EF9">
        <w:tc>
          <w:tcPr>
            <w:tcW w:w="2279" w:type="dxa"/>
            <w:tcMar>
              <w:top w:w="100" w:type="dxa"/>
              <w:left w:w="100" w:type="dxa"/>
              <w:bottom w:w="100" w:type="dxa"/>
              <w:right w:w="100" w:type="dxa"/>
            </w:tcMar>
          </w:tcPr>
          <w:p w:rsidR="00A75EF9" w:rsidRDefault="00BE7E8E">
            <w:pPr>
              <w:widowControl w:val="0"/>
              <w:spacing w:line="240" w:lineRule="auto"/>
              <w:rPr>
                <w:rFonts w:ascii="Verdana" w:eastAsia="Verdana" w:hAnsi="Verdana" w:cs="Verdana"/>
                <w:b/>
                <w:sz w:val="20"/>
                <w:szCs w:val="20"/>
                <w:highlight w:val="white"/>
              </w:rPr>
            </w:pPr>
            <w:r>
              <w:rPr>
                <w:rFonts w:ascii="Verdana" w:eastAsia="Verdana" w:hAnsi="Verdana" w:cs="Verdana"/>
                <w:b/>
                <w:sz w:val="20"/>
                <w:szCs w:val="20"/>
                <w:highlight w:val="white"/>
              </w:rPr>
              <w:t>ID</w:t>
            </w:r>
          </w:p>
        </w:tc>
        <w:tc>
          <w:tcPr>
            <w:tcW w:w="2370" w:type="dxa"/>
            <w:tcMar>
              <w:top w:w="100" w:type="dxa"/>
              <w:left w:w="100" w:type="dxa"/>
              <w:bottom w:w="100" w:type="dxa"/>
              <w:right w:w="100" w:type="dxa"/>
            </w:tcMar>
          </w:tcPr>
          <w:p w:rsidR="00A75EF9" w:rsidRDefault="00BE7E8E">
            <w:pPr>
              <w:widowControl w:val="0"/>
              <w:spacing w:line="240" w:lineRule="auto"/>
              <w:rPr>
                <w:rFonts w:ascii="Verdana" w:eastAsia="Verdana" w:hAnsi="Verdana" w:cs="Verdana"/>
                <w:b/>
                <w:sz w:val="20"/>
                <w:szCs w:val="20"/>
                <w:highlight w:val="white"/>
              </w:rPr>
            </w:pPr>
            <w:r>
              <w:rPr>
                <w:rFonts w:ascii="Verdana" w:eastAsia="Verdana" w:hAnsi="Verdana" w:cs="Verdana"/>
                <w:b/>
                <w:sz w:val="20"/>
                <w:szCs w:val="20"/>
                <w:highlight w:val="white"/>
              </w:rPr>
              <w:t>Princípio</w:t>
            </w:r>
            <w:r w:rsidR="00B45BC3">
              <w:rPr>
                <w:rFonts w:ascii="Verdana" w:eastAsia="Verdana" w:hAnsi="Verdana" w:cs="Verdana"/>
                <w:b/>
                <w:sz w:val="20"/>
                <w:szCs w:val="20"/>
                <w:highlight w:val="white"/>
              </w:rPr>
              <w:t>/</w:t>
            </w:r>
            <w:r>
              <w:rPr>
                <w:rFonts w:ascii="Verdana" w:eastAsia="Verdana" w:hAnsi="Verdana" w:cs="Verdana"/>
                <w:b/>
                <w:sz w:val="20"/>
                <w:szCs w:val="20"/>
                <w:highlight w:val="white"/>
              </w:rPr>
              <w:t xml:space="preserve">Diretriz </w:t>
            </w:r>
          </w:p>
        </w:tc>
        <w:tc>
          <w:tcPr>
            <w:tcW w:w="2100" w:type="dxa"/>
            <w:tcMar>
              <w:top w:w="100" w:type="dxa"/>
              <w:left w:w="100" w:type="dxa"/>
              <w:bottom w:w="100" w:type="dxa"/>
              <w:right w:w="100" w:type="dxa"/>
            </w:tcMar>
          </w:tcPr>
          <w:p w:rsidR="00A75EF9" w:rsidRDefault="00BE7E8E">
            <w:pPr>
              <w:widowControl w:val="0"/>
              <w:spacing w:line="240" w:lineRule="auto"/>
              <w:rPr>
                <w:rFonts w:ascii="Verdana" w:eastAsia="Verdana" w:hAnsi="Verdana" w:cs="Verdana"/>
                <w:b/>
                <w:sz w:val="20"/>
                <w:szCs w:val="20"/>
                <w:highlight w:val="white"/>
              </w:rPr>
            </w:pPr>
            <w:r>
              <w:rPr>
                <w:rFonts w:ascii="Verdana" w:eastAsia="Verdana" w:hAnsi="Verdana" w:cs="Verdana"/>
                <w:b/>
                <w:sz w:val="20"/>
                <w:szCs w:val="20"/>
                <w:highlight w:val="white"/>
              </w:rPr>
              <w:t>Origem</w:t>
            </w:r>
          </w:p>
        </w:tc>
        <w:tc>
          <w:tcPr>
            <w:tcW w:w="2279" w:type="dxa"/>
            <w:tcMar>
              <w:top w:w="100" w:type="dxa"/>
              <w:left w:w="100" w:type="dxa"/>
              <w:bottom w:w="100" w:type="dxa"/>
              <w:right w:w="100" w:type="dxa"/>
            </w:tcMar>
          </w:tcPr>
          <w:p w:rsidR="00A75EF9" w:rsidRDefault="00BE7E8E">
            <w:pPr>
              <w:widowControl w:val="0"/>
              <w:spacing w:line="240" w:lineRule="auto"/>
              <w:rPr>
                <w:rFonts w:ascii="Verdana" w:eastAsia="Verdana" w:hAnsi="Verdana" w:cs="Verdana"/>
                <w:b/>
                <w:sz w:val="20"/>
                <w:szCs w:val="20"/>
                <w:highlight w:val="white"/>
              </w:rPr>
            </w:pPr>
            <w:r>
              <w:rPr>
                <w:rFonts w:ascii="Verdana" w:eastAsia="Verdana" w:hAnsi="Verdana" w:cs="Verdana"/>
                <w:b/>
                <w:sz w:val="20"/>
                <w:szCs w:val="20"/>
                <w:highlight w:val="white"/>
              </w:rPr>
              <w:t>Pode ser utilizado como critério de priorização?</w:t>
            </w:r>
          </w:p>
        </w:tc>
      </w:tr>
      <w:tr w:rsidR="00A75EF9">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37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10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r>
      <w:tr w:rsidR="00A75EF9">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37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10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r>
      <w:tr w:rsidR="00A75EF9">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37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10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r>
      <w:tr w:rsidR="00A75EF9">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37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10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r>
      <w:tr w:rsidR="00A75EF9">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37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10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r>
      <w:tr w:rsidR="00A75EF9">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37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100"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c>
          <w:tcPr>
            <w:tcW w:w="2279" w:type="dxa"/>
            <w:tcMar>
              <w:top w:w="100" w:type="dxa"/>
              <w:left w:w="100" w:type="dxa"/>
              <w:bottom w:w="100" w:type="dxa"/>
              <w:right w:w="100" w:type="dxa"/>
            </w:tcMar>
          </w:tcPr>
          <w:p w:rsidR="00A75EF9" w:rsidRDefault="00A75EF9">
            <w:pPr>
              <w:widowControl w:val="0"/>
              <w:spacing w:line="240" w:lineRule="auto"/>
              <w:rPr>
                <w:rFonts w:ascii="Verdana" w:eastAsia="Verdana" w:hAnsi="Verdana" w:cs="Verdana"/>
                <w:b/>
                <w:color w:val="0000FF"/>
                <w:sz w:val="20"/>
                <w:szCs w:val="20"/>
                <w:highlight w:val="white"/>
              </w:rPr>
            </w:pPr>
          </w:p>
        </w:tc>
      </w:tr>
    </w:tbl>
    <w:p w:rsidR="00A75EF9" w:rsidRDefault="00A75EF9">
      <w:pPr>
        <w:rPr>
          <w:rFonts w:ascii="Verdana" w:eastAsia="Verdana" w:hAnsi="Verdana" w:cs="Verdana"/>
          <w:b/>
          <w:color w:val="0000FF"/>
          <w:sz w:val="20"/>
          <w:szCs w:val="20"/>
          <w:highlight w:val="white"/>
        </w:rPr>
      </w:pPr>
    </w:p>
    <w:p w:rsidR="00B45BC3" w:rsidRDefault="00B45BC3" w:rsidP="00B45BC3">
      <w:pPr>
        <w:rPr>
          <w:rFonts w:ascii="Verdana" w:eastAsia="Verdana" w:hAnsi="Verdana" w:cs="Verdana"/>
          <w:b/>
          <w:color w:val="0000FF"/>
          <w:sz w:val="20"/>
          <w:szCs w:val="20"/>
          <w:highlight w:val="white"/>
        </w:rPr>
      </w:pPr>
      <w:r>
        <w:rPr>
          <w:rFonts w:ascii="Verdana" w:eastAsia="Verdana" w:hAnsi="Verdana" w:cs="Verdana"/>
          <w:b/>
          <w:color w:val="0000FF"/>
          <w:sz w:val="20"/>
          <w:szCs w:val="20"/>
          <w:highlight w:val="white"/>
        </w:rPr>
        <w:t xml:space="preserve">                      &lt;Nome completo da autoridade máxima da Estatal &gt;</w:t>
      </w:r>
    </w:p>
    <w:p w:rsidR="00B45BC3" w:rsidRDefault="00B45BC3" w:rsidP="00B45BC3">
      <w:pPr>
        <w:rPr>
          <w:rFonts w:ascii="Verdana" w:eastAsia="Verdana" w:hAnsi="Verdana" w:cs="Verdana"/>
          <w:b/>
          <w:color w:val="0000FF"/>
          <w:sz w:val="20"/>
          <w:szCs w:val="20"/>
          <w:highlight w:val="white"/>
        </w:rPr>
      </w:pPr>
    </w:p>
    <w:p w:rsidR="00B45BC3" w:rsidRDefault="00B45BC3" w:rsidP="00B45BC3">
      <w:pPr>
        <w:rPr>
          <w:rFonts w:ascii="Verdana" w:eastAsia="Verdana" w:hAnsi="Verdana" w:cs="Verdana"/>
          <w:b/>
          <w:color w:val="0000FF"/>
          <w:sz w:val="20"/>
          <w:szCs w:val="20"/>
          <w:highlight w:val="white"/>
        </w:rPr>
      </w:pPr>
      <w:r>
        <w:rPr>
          <w:rFonts w:ascii="Verdana" w:eastAsia="Verdana" w:hAnsi="Verdana" w:cs="Verdana"/>
          <w:b/>
          <w:color w:val="0000FF"/>
          <w:sz w:val="20"/>
          <w:szCs w:val="20"/>
          <w:highlight w:val="white"/>
        </w:rPr>
        <w:t xml:space="preserve">                             &lt;Cargo da autoridade máxima da Estatal &gt;</w:t>
      </w:r>
    </w:p>
    <w:p w:rsidR="00A75EF9" w:rsidRDefault="00A75EF9">
      <w:pPr>
        <w:rPr>
          <w:rFonts w:ascii="Verdana" w:eastAsia="Verdana" w:hAnsi="Verdana" w:cs="Verdana"/>
          <w:b/>
          <w:color w:val="0000FF"/>
          <w:sz w:val="20"/>
          <w:szCs w:val="20"/>
          <w:highlight w:val="white"/>
        </w:rPr>
      </w:pPr>
    </w:p>
    <w:p w:rsidR="00A75EF9" w:rsidRDefault="00A75EF9">
      <w:pPr>
        <w:rPr>
          <w:rFonts w:ascii="Verdana" w:eastAsia="Verdana" w:hAnsi="Verdana" w:cs="Verdana"/>
          <w:b/>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A75EF9" w:rsidRDefault="00A75EF9">
      <w:pPr>
        <w:rPr>
          <w:sz w:val="20"/>
          <w:szCs w:val="20"/>
          <w:highlight w:val="white"/>
        </w:rPr>
      </w:pPr>
    </w:p>
    <w:p w:rsidR="005070E3" w:rsidRDefault="005070E3">
      <w:pPr>
        <w:rPr>
          <w:sz w:val="20"/>
          <w:szCs w:val="20"/>
          <w:highlight w:val="white"/>
        </w:rPr>
      </w:pPr>
    </w:p>
    <w:p w:rsidR="005070E3" w:rsidRDefault="005070E3">
      <w:pPr>
        <w:rPr>
          <w:sz w:val="20"/>
          <w:szCs w:val="20"/>
          <w:highlight w:val="white"/>
        </w:rPr>
      </w:pPr>
    </w:p>
    <w:p w:rsidR="00A75EF9" w:rsidRDefault="00A75EF9">
      <w:pPr>
        <w:rPr>
          <w:sz w:val="20"/>
          <w:szCs w:val="20"/>
          <w:highlight w:val="white"/>
        </w:rPr>
      </w:pPr>
    </w:p>
    <w:p w:rsidR="00A75EF9" w:rsidRDefault="00BE7E8E">
      <w:pPr>
        <w:rPr>
          <w:b/>
          <w:sz w:val="20"/>
          <w:szCs w:val="20"/>
          <w:highlight w:val="white"/>
        </w:rPr>
      </w:pPr>
      <w:r>
        <w:rPr>
          <w:b/>
          <w:sz w:val="20"/>
          <w:szCs w:val="20"/>
          <w:highlight w:val="white"/>
        </w:rPr>
        <w:lastRenderedPageBreak/>
        <w:t xml:space="preserve">Observações:  </w:t>
      </w:r>
    </w:p>
    <w:p w:rsidR="00A75EF9" w:rsidRDefault="00A75EF9">
      <w:pPr>
        <w:rPr>
          <w:b/>
          <w:sz w:val="20"/>
          <w:szCs w:val="20"/>
          <w:highlight w:val="white"/>
        </w:rPr>
      </w:pPr>
    </w:p>
    <w:p w:rsidR="00A51561" w:rsidRDefault="00BE7E8E" w:rsidP="00A51561">
      <w:pPr>
        <w:contextualSpacing/>
        <w:jc w:val="both"/>
        <w:rPr>
          <w:sz w:val="20"/>
          <w:szCs w:val="20"/>
          <w:highlight w:val="white"/>
        </w:rPr>
      </w:pPr>
      <w:r>
        <w:rPr>
          <w:b/>
          <w:sz w:val="20"/>
          <w:szCs w:val="20"/>
          <w:highlight w:val="white"/>
        </w:rPr>
        <w:t>ID</w:t>
      </w:r>
      <w:r>
        <w:rPr>
          <w:sz w:val="20"/>
          <w:szCs w:val="20"/>
          <w:highlight w:val="white"/>
        </w:rPr>
        <w:t>: Identificação do item. Este campo será útil par</w:t>
      </w:r>
      <w:r w:rsidR="00A51561">
        <w:rPr>
          <w:sz w:val="20"/>
          <w:szCs w:val="20"/>
          <w:highlight w:val="white"/>
        </w:rPr>
        <w:t>a fazer referência a este item. S</w:t>
      </w:r>
      <w:r>
        <w:rPr>
          <w:sz w:val="20"/>
          <w:szCs w:val="20"/>
          <w:highlight w:val="white"/>
        </w:rPr>
        <w:t xml:space="preserve">ugere-se preencher com um número entre 1 e n, onde </w:t>
      </w:r>
      <w:proofErr w:type="gramStart"/>
      <w:r>
        <w:rPr>
          <w:sz w:val="20"/>
          <w:szCs w:val="20"/>
          <w:highlight w:val="white"/>
        </w:rPr>
        <w:t>n</w:t>
      </w:r>
      <w:proofErr w:type="gramEnd"/>
      <w:r>
        <w:rPr>
          <w:sz w:val="20"/>
          <w:szCs w:val="20"/>
          <w:highlight w:val="white"/>
        </w:rPr>
        <w:t xml:space="preserve"> é o número total de itens precedido por PD</w:t>
      </w:r>
      <w:r w:rsidR="00A51561">
        <w:rPr>
          <w:sz w:val="20"/>
          <w:szCs w:val="20"/>
          <w:highlight w:val="white"/>
        </w:rPr>
        <w:t xml:space="preserve"> </w:t>
      </w:r>
      <w:r>
        <w:rPr>
          <w:sz w:val="20"/>
          <w:szCs w:val="20"/>
          <w:highlight w:val="white"/>
        </w:rPr>
        <w:t>(“ princípios e diretrizes”)</w:t>
      </w:r>
    </w:p>
    <w:p w:rsidR="00A51561" w:rsidRDefault="00A51561" w:rsidP="00A51561">
      <w:pPr>
        <w:contextualSpacing/>
        <w:jc w:val="both"/>
        <w:rPr>
          <w:sz w:val="20"/>
          <w:szCs w:val="20"/>
          <w:highlight w:val="white"/>
        </w:rPr>
      </w:pPr>
    </w:p>
    <w:p w:rsidR="00A75EF9" w:rsidRDefault="00BE7E8E" w:rsidP="00A51561">
      <w:pPr>
        <w:contextualSpacing/>
        <w:jc w:val="both"/>
        <w:rPr>
          <w:sz w:val="20"/>
          <w:szCs w:val="20"/>
          <w:highlight w:val="white"/>
        </w:rPr>
      </w:pPr>
      <w:r>
        <w:rPr>
          <w:b/>
          <w:sz w:val="20"/>
          <w:szCs w:val="20"/>
          <w:highlight w:val="white"/>
        </w:rPr>
        <w:t>Princípio\diretriz</w:t>
      </w:r>
      <w:r>
        <w:rPr>
          <w:sz w:val="20"/>
          <w:szCs w:val="20"/>
          <w:highlight w:val="white"/>
        </w:rPr>
        <w:t>: Descrição da estratégia relevante com a qual se deseja alinhar.</w:t>
      </w:r>
    </w:p>
    <w:p w:rsidR="00A51561" w:rsidRDefault="00A51561" w:rsidP="00A51561">
      <w:pPr>
        <w:contextualSpacing/>
        <w:jc w:val="both"/>
        <w:rPr>
          <w:b/>
          <w:sz w:val="20"/>
          <w:szCs w:val="20"/>
          <w:highlight w:val="white"/>
        </w:rPr>
      </w:pPr>
    </w:p>
    <w:p w:rsidR="00A75EF9" w:rsidRDefault="00BE7E8E" w:rsidP="00A51561">
      <w:pPr>
        <w:contextualSpacing/>
        <w:jc w:val="both"/>
        <w:rPr>
          <w:sz w:val="20"/>
          <w:szCs w:val="20"/>
          <w:highlight w:val="white"/>
        </w:rPr>
      </w:pPr>
      <w:r>
        <w:rPr>
          <w:b/>
          <w:sz w:val="20"/>
          <w:szCs w:val="20"/>
          <w:highlight w:val="white"/>
        </w:rPr>
        <w:t>Origem</w:t>
      </w:r>
      <w:r>
        <w:rPr>
          <w:sz w:val="20"/>
          <w:szCs w:val="20"/>
          <w:highlight w:val="white"/>
        </w:rPr>
        <w:t>: Documento no qual se identificou o princípio\ diretriz (o documento pode ser um instrumento normativo ou referenciar decisões ocorridas, por exemplo, em reuniões do comitê de TI.)</w:t>
      </w:r>
    </w:p>
    <w:p w:rsidR="00A51561" w:rsidRDefault="00A51561" w:rsidP="00A51561">
      <w:pPr>
        <w:contextualSpacing/>
        <w:jc w:val="both"/>
        <w:rPr>
          <w:b/>
          <w:sz w:val="20"/>
          <w:szCs w:val="20"/>
          <w:highlight w:val="white"/>
        </w:rPr>
      </w:pPr>
    </w:p>
    <w:p w:rsidR="00A75EF9" w:rsidRDefault="00BE7E8E" w:rsidP="00A51561">
      <w:pPr>
        <w:contextualSpacing/>
        <w:jc w:val="both"/>
        <w:rPr>
          <w:sz w:val="20"/>
          <w:szCs w:val="20"/>
          <w:highlight w:val="white"/>
        </w:rPr>
      </w:pPr>
      <w:r>
        <w:rPr>
          <w:b/>
          <w:sz w:val="20"/>
          <w:szCs w:val="20"/>
          <w:highlight w:val="white"/>
        </w:rPr>
        <w:t>Pode ser utilizado como critério de priorização?</w:t>
      </w:r>
      <w:r>
        <w:rPr>
          <w:sz w:val="20"/>
          <w:szCs w:val="20"/>
          <w:highlight w:val="white"/>
        </w:rPr>
        <w:t xml:space="preserve"> </w:t>
      </w:r>
      <w:r w:rsidR="00A51561">
        <w:rPr>
          <w:sz w:val="20"/>
          <w:szCs w:val="20"/>
          <w:highlight w:val="white"/>
        </w:rPr>
        <w:t>Indica</w:t>
      </w:r>
      <w:r>
        <w:rPr>
          <w:sz w:val="20"/>
          <w:szCs w:val="20"/>
          <w:highlight w:val="white"/>
        </w:rPr>
        <w:t xml:space="preserve"> se o princípio\diretriz representa um possível critério a ser aplicado posteriormente à priorização das necessidades de TI.</w:t>
      </w:r>
    </w:p>
    <w:p w:rsidR="00A75EF9" w:rsidRDefault="00A75EF9">
      <w:pPr>
        <w:rPr>
          <w:highlight w:val="white"/>
        </w:rPr>
      </w:pPr>
    </w:p>
    <w:p w:rsidR="00A75EF9" w:rsidRDefault="00BE7E8E" w:rsidP="00A51561">
      <w:pPr>
        <w:contextualSpacing/>
        <w:jc w:val="both"/>
        <w:rPr>
          <w:highlight w:val="white"/>
        </w:rPr>
      </w:pPr>
      <w:r w:rsidRPr="00A51561">
        <w:rPr>
          <w:b/>
          <w:highlight w:val="white"/>
        </w:rPr>
        <w:t>Princípios e diretrizes</w:t>
      </w:r>
      <w:r>
        <w:rPr>
          <w:highlight w:val="white"/>
        </w:rPr>
        <w:t xml:space="preserve"> são regras gerais que norteiam os conceitos de uma matéria, orientando uma tomada de decisão. Constituem proposições estruturantes para determinado fim. Ou seja, são os alicerces de um assunto. Os princípios e diretrizes representam as estratégias relevantes com as quais a TIC deve se alinhar. Por exemplo: políticas públicas, uso de software livre, aderência a padrões de governo e governo eletrônico brasileiro e boas práticas.</w:t>
      </w:r>
    </w:p>
    <w:p w:rsidR="00A75EF9" w:rsidRDefault="00A75EF9">
      <w:pPr>
        <w:rPr>
          <w:highlight w:val="white"/>
        </w:rPr>
      </w:pPr>
    </w:p>
    <w:p w:rsidR="00A75EF9" w:rsidRDefault="00BE7E8E" w:rsidP="00A51561">
      <w:pPr>
        <w:contextualSpacing/>
        <w:jc w:val="both"/>
        <w:rPr>
          <w:highlight w:val="white"/>
        </w:rPr>
      </w:pPr>
      <w:r>
        <w:rPr>
          <w:highlight w:val="white"/>
        </w:rPr>
        <w:t xml:space="preserve">Os princípios e diretrizes devem ser observados e seguidos durante toda a elaboração do PDTI, pois são eles que vão permear todas as decisões ao longo do processo de elaboração do PDTI. </w:t>
      </w:r>
    </w:p>
    <w:p w:rsidR="00A75EF9" w:rsidRDefault="00A75EF9">
      <w:pPr>
        <w:rPr>
          <w:highlight w:val="white"/>
        </w:rPr>
      </w:pPr>
    </w:p>
    <w:p w:rsidR="00A75EF9" w:rsidRDefault="00BE7E8E" w:rsidP="00AF6D37">
      <w:pPr>
        <w:contextualSpacing/>
        <w:jc w:val="both"/>
        <w:rPr>
          <w:highlight w:val="white"/>
        </w:rPr>
      </w:pPr>
      <w:r>
        <w:rPr>
          <w:highlight w:val="white"/>
        </w:rPr>
        <w:t>Não é necessário criar uma lista exaustiva dos princípios e diretrizes explicitados nos documentos, mas deve-se identificar aqueles relevantes e, em especial, que podem nortear a elaboração do PDTI e sua execução, considerando as limitações da organização e da área de TIC.</w:t>
      </w:r>
    </w:p>
    <w:p w:rsidR="00A75EF9" w:rsidRDefault="00A75EF9">
      <w:pPr>
        <w:rPr>
          <w:highlight w:val="white"/>
        </w:rPr>
      </w:pPr>
    </w:p>
    <w:p w:rsidR="00A75EF9" w:rsidRDefault="00BE7E8E" w:rsidP="00AF6D37">
      <w:pPr>
        <w:contextualSpacing/>
        <w:jc w:val="both"/>
        <w:rPr>
          <w:highlight w:val="white"/>
        </w:rPr>
      </w:pPr>
      <w:r>
        <w:rPr>
          <w:highlight w:val="white"/>
        </w:rPr>
        <w:t>Durante a definição dos princípios e diretrizes, deve-se identificar os critérios de priorização, que, posteriormente, serão validados pelo Comitê de TIC. Deve-se observar também os critérios de prazos, criticidade e impacto na realização ou não das necessidades levantadas, bem como os critérios para aceitação de risco.</w:t>
      </w:r>
    </w:p>
    <w:p w:rsidR="00A75EF9" w:rsidRDefault="00BE7E8E">
      <w:pPr>
        <w:rPr>
          <w:highlight w:val="white"/>
        </w:rPr>
      </w:pPr>
      <w:r>
        <w:rPr>
          <w:highlight w:val="white"/>
        </w:rPr>
        <w:t xml:space="preserve">  </w:t>
      </w:r>
    </w:p>
    <w:p w:rsidR="00A75EF9" w:rsidRDefault="00BE7E8E" w:rsidP="00AF6D37">
      <w:pPr>
        <w:contextualSpacing/>
        <w:jc w:val="both"/>
        <w:rPr>
          <w:highlight w:val="white"/>
        </w:rPr>
      </w:pPr>
      <w:r>
        <w:rPr>
          <w:highlight w:val="white"/>
        </w:rPr>
        <w:t>Para formar os critérios de priorização, pode-se utilizar os critérios presentes na técnica da Matriz GUT, como gravidade, urgência e tendência, por exemplo.</w:t>
      </w:r>
    </w:p>
    <w:p w:rsidR="00A75EF9" w:rsidRDefault="00BE7E8E">
      <w:pPr>
        <w:rPr>
          <w:highlight w:val="white"/>
        </w:rPr>
      </w:pPr>
      <w:r>
        <w:rPr>
          <w:highlight w:val="white"/>
        </w:rPr>
        <w:t xml:space="preserve"> </w:t>
      </w:r>
    </w:p>
    <w:p w:rsidR="00A75EF9" w:rsidRDefault="00BE7E8E" w:rsidP="00AF6D37">
      <w:pPr>
        <w:contextualSpacing/>
        <w:jc w:val="both"/>
        <w:rPr>
          <w:highlight w:val="white"/>
        </w:rPr>
      </w:pPr>
      <w:r>
        <w:rPr>
          <w:highlight w:val="white"/>
        </w:rPr>
        <w:t xml:space="preserve">A visualização de critérios de priorização, nesse momento, é importante pois permite identificar os principais eixos que vão orientar o estabelecimento das prioridades para as necessidades. Pode-se identificar eixos relacionados a aspectos financeiros, abrangência na organização, relacionamento com programas estratégicos, relacionamento com a EGD, entre outros. </w:t>
      </w:r>
    </w:p>
    <w:p w:rsidR="00A75EF9" w:rsidRDefault="00A75EF9">
      <w:pPr>
        <w:rPr>
          <w:highlight w:val="white"/>
        </w:rPr>
      </w:pPr>
    </w:p>
    <w:p w:rsidR="00A75EF9" w:rsidRDefault="00BE7E8E" w:rsidP="00AF6D37">
      <w:pPr>
        <w:contextualSpacing/>
        <w:jc w:val="both"/>
        <w:rPr>
          <w:highlight w:val="white"/>
        </w:rPr>
      </w:pPr>
      <w:r>
        <w:rPr>
          <w:highlight w:val="white"/>
        </w:rPr>
        <w:t xml:space="preserve">A partir deste processo, começam a surgir as necessidades que comporão o Inventário de Necessidades, o qual será consolidado ao final do subprocesso de diagnóstico. Pode ser </w:t>
      </w:r>
      <w:r>
        <w:rPr>
          <w:highlight w:val="white"/>
        </w:rPr>
        <w:lastRenderedPageBreak/>
        <w:t xml:space="preserve">que haja repetição entre as necessidades identificadas aqui e nos próximos processos. Porém, não há problema que essa situação ocorra, pois, na consolidação final, as redundâncias serão tratadas. </w:t>
      </w:r>
    </w:p>
    <w:p w:rsidR="00A75EF9" w:rsidRDefault="00A75EF9">
      <w:pPr>
        <w:rPr>
          <w:highlight w:val="white"/>
        </w:rPr>
      </w:pPr>
    </w:p>
    <w:p w:rsidR="00A75EF9" w:rsidRDefault="00BE7E8E" w:rsidP="00AF6D37">
      <w:pPr>
        <w:contextualSpacing/>
        <w:jc w:val="both"/>
        <w:rPr>
          <w:highlight w:val="white"/>
        </w:rPr>
      </w:pPr>
      <w:r>
        <w:rPr>
          <w:highlight w:val="white"/>
        </w:rPr>
        <w:t>Listar as necessidades relacionadas à TIC não quer dizer fazer uma lista exaustiva, mas identificar aquelas mais relevantes e, em especial, que têm potencial de ser atendidas.</w:t>
      </w:r>
    </w:p>
    <w:p w:rsidR="009A3AE6" w:rsidRPr="009A3AE6" w:rsidRDefault="009A3AE6" w:rsidP="00AF6D37">
      <w:pPr>
        <w:contextualSpacing/>
        <w:jc w:val="both"/>
        <w:rPr>
          <w:b/>
          <w:highlight w:val="white"/>
        </w:rPr>
      </w:pPr>
    </w:p>
    <w:p w:rsidR="009A3AE6" w:rsidRPr="009A3AE6" w:rsidRDefault="009A3AE6" w:rsidP="00AF6D37">
      <w:pPr>
        <w:contextualSpacing/>
        <w:jc w:val="both"/>
        <w:rPr>
          <w:b/>
          <w:highlight w:val="white"/>
        </w:rPr>
      </w:pPr>
      <w:r w:rsidRPr="009A3AE6">
        <w:rPr>
          <w:b/>
          <w:highlight w:val="white"/>
        </w:rPr>
        <w:t>Modelo de Princípios:</w:t>
      </w:r>
    </w:p>
    <w:p w:rsidR="009A3AE6" w:rsidRDefault="009A3AE6" w:rsidP="00AF6D37">
      <w:pPr>
        <w:contextualSpacing/>
        <w:jc w:val="both"/>
        <w:rPr>
          <w:highlight w:val="white"/>
        </w:rPr>
      </w:pPr>
    </w:p>
    <w:tbl>
      <w:tblPr>
        <w:tblW w:w="92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8647"/>
      </w:tblGrid>
      <w:tr w:rsidR="009A3AE6" w:rsidRPr="00E511F2" w:rsidTr="00E900F4">
        <w:trPr>
          <w:trHeight w:val="337"/>
        </w:trPr>
        <w:tc>
          <w:tcPr>
            <w:tcW w:w="608" w:type="dxa"/>
            <w:shd w:val="clear" w:color="auto" w:fill="F2F2F2"/>
            <w:hideMark/>
          </w:tcPr>
          <w:p w:rsidR="009A3AE6" w:rsidRPr="00E511F2" w:rsidRDefault="009A3AE6" w:rsidP="00E900F4">
            <w:pPr>
              <w:rPr>
                <w:rFonts w:eastAsia="Times New Roman"/>
                <w:b/>
                <w:bCs/>
              </w:rPr>
            </w:pPr>
            <w:r w:rsidRPr="00E511F2">
              <w:rPr>
                <w:rFonts w:eastAsia="Times New Roman"/>
                <w:b/>
                <w:bCs/>
              </w:rPr>
              <w:t>Id</w:t>
            </w:r>
          </w:p>
        </w:tc>
        <w:tc>
          <w:tcPr>
            <w:tcW w:w="8647" w:type="dxa"/>
            <w:shd w:val="clear" w:color="auto" w:fill="F2F2F2"/>
            <w:hideMark/>
          </w:tcPr>
          <w:p w:rsidR="009A3AE6" w:rsidRPr="00E511F2" w:rsidRDefault="009A3AE6" w:rsidP="00E900F4">
            <w:pPr>
              <w:ind w:left="-861"/>
              <w:jc w:val="center"/>
              <w:rPr>
                <w:rFonts w:eastAsia="Times New Roman"/>
                <w:b/>
                <w:bCs/>
              </w:rPr>
            </w:pPr>
            <w:r w:rsidRPr="00E511F2">
              <w:rPr>
                <w:rFonts w:eastAsia="Times New Roman"/>
                <w:b/>
                <w:bCs/>
              </w:rPr>
              <w:t>Princípio</w:t>
            </w:r>
          </w:p>
        </w:tc>
      </w:tr>
      <w:tr w:rsidR="009A3AE6" w:rsidRPr="00E511F2" w:rsidTr="00E900F4">
        <w:trPr>
          <w:trHeight w:val="308"/>
        </w:trPr>
        <w:tc>
          <w:tcPr>
            <w:tcW w:w="608" w:type="dxa"/>
            <w:noWrap/>
            <w:hideMark/>
          </w:tcPr>
          <w:p w:rsidR="009A3AE6" w:rsidRPr="00E511F2" w:rsidRDefault="009A3AE6" w:rsidP="00E900F4">
            <w:pPr>
              <w:rPr>
                <w:rFonts w:eastAsia="Times New Roman"/>
                <w:b/>
                <w:bCs/>
              </w:rPr>
            </w:pPr>
            <w:r w:rsidRPr="00E511F2">
              <w:rPr>
                <w:rFonts w:eastAsia="Times New Roman"/>
                <w:b/>
                <w:bCs/>
              </w:rPr>
              <w:t>P1</w:t>
            </w:r>
          </w:p>
        </w:tc>
        <w:tc>
          <w:tcPr>
            <w:tcW w:w="8647" w:type="dxa"/>
            <w:hideMark/>
          </w:tcPr>
          <w:p w:rsidR="009A3AE6" w:rsidRPr="00E511F2" w:rsidRDefault="009A3AE6" w:rsidP="00E900F4">
            <w:pPr>
              <w:jc w:val="both"/>
              <w:rPr>
                <w:rFonts w:eastAsia="Times New Roman"/>
              </w:rPr>
            </w:pPr>
            <w:r w:rsidRPr="00E511F2">
              <w:rPr>
                <w:rFonts w:eastAsia="Times New Roman"/>
              </w:rPr>
              <w:t>Alinhamento dos objetivos institucionais de TIC às estratégias de negócio.</w:t>
            </w:r>
          </w:p>
        </w:tc>
      </w:tr>
      <w:tr w:rsidR="009A3AE6" w:rsidRPr="00E511F2" w:rsidTr="00E900F4">
        <w:trPr>
          <w:trHeight w:val="837"/>
        </w:trPr>
        <w:tc>
          <w:tcPr>
            <w:tcW w:w="608" w:type="dxa"/>
            <w:noWrap/>
            <w:hideMark/>
          </w:tcPr>
          <w:p w:rsidR="009A3AE6" w:rsidRPr="00E511F2" w:rsidRDefault="009A3AE6" w:rsidP="00E900F4">
            <w:pPr>
              <w:rPr>
                <w:rFonts w:eastAsia="Times New Roman"/>
                <w:b/>
                <w:bCs/>
              </w:rPr>
            </w:pPr>
            <w:r w:rsidRPr="00E511F2">
              <w:rPr>
                <w:rFonts w:eastAsia="Times New Roman"/>
                <w:b/>
                <w:bCs/>
              </w:rPr>
              <w:t>P2</w:t>
            </w:r>
          </w:p>
        </w:tc>
        <w:tc>
          <w:tcPr>
            <w:tcW w:w="8647" w:type="dxa"/>
            <w:hideMark/>
          </w:tcPr>
          <w:p w:rsidR="009A3AE6" w:rsidRPr="00E511F2" w:rsidRDefault="009A3AE6" w:rsidP="00E900F4">
            <w:pPr>
              <w:jc w:val="both"/>
              <w:rPr>
                <w:rFonts w:eastAsia="Times New Roman"/>
              </w:rPr>
            </w:pPr>
            <w:r>
              <w:rPr>
                <w:rFonts w:eastAsia="Times New Roman"/>
              </w:rPr>
              <w:t xml:space="preserve">Instituir </w:t>
            </w:r>
            <w:r w:rsidRPr="00E511F2">
              <w:rPr>
                <w:rFonts w:eastAsia="Times New Roman"/>
              </w:rPr>
              <w:t>o Manual de Padrões e Recomendações para usuários de Tecnologia da Informação – TI (1</w:t>
            </w:r>
            <w:r>
              <w:rPr>
                <w:rFonts w:eastAsia="Times New Roman"/>
              </w:rPr>
              <w:t xml:space="preserve">ª </w:t>
            </w:r>
            <w:r w:rsidRPr="00E511F2">
              <w:rPr>
                <w:rFonts w:eastAsia="Times New Roman"/>
              </w:rPr>
              <w:t>versão) da Defensoria Pública da União e suas unidades em âmbito nacional.</w:t>
            </w:r>
          </w:p>
        </w:tc>
      </w:tr>
      <w:tr w:rsidR="009A3AE6" w:rsidRPr="00E511F2" w:rsidTr="00E900F4">
        <w:trPr>
          <w:trHeight w:val="552"/>
        </w:trPr>
        <w:tc>
          <w:tcPr>
            <w:tcW w:w="608" w:type="dxa"/>
            <w:noWrap/>
            <w:hideMark/>
          </w:tcPr>
          <w:p w:rsidR="009A3AE6" w:rsidRPr="00E511F2" w:rsidRDefault="009A3AE6" w:rsidP="00E900F4">
            <w:pPr>
              <w:rPr>
                <w:rFonts w:eastAsia="Times New Roman"/>
                <w:b/>
                <w:bCs/>
              </w:rPr>
            </w:pPr>
            <w:r w:rsidRPr="00E511F2">
              <w:rPr>
                <w:rFonts w:eastAsia="Times New Roman"/>
                <w:b/>
                <w:bCs/>
              </w:rPr>
              <w:t>P3</w:t>
            </w:r>
          </w:p>
        </w:tc>
        <w:tc>
          <w:tcPr>
            <w:tcW w:w="8647" w:type="dxa"/>
            <w:noWrap/>
            <w:hideMark/>
          </w:tcPr>
          <w:p w:rsidR="009A3AE6" w:rsidRPr="00E511F2" w:rsidRDefault="009A3AE6" w:rsidP="00E900F4">
            <w:pPr>
              <w:jc w:val="both"/>
              <w:rPr>
                <w:rFonts w:eastAsia="Times New Roman"/>
              </w:rPr>
            </w:pPr>
            <w:r w:rsidRPr="00E511F2">
              <w:rPr>
                <w:rFonts w:eastAsia="Times New Roman"/>
              </w:rPr>
              <w:t>As contratações de bens e serviços de TIC deverão ser precedidas de planejamento, seguindo o previsto no PDTI.</w:t>
            </w:r>
          </w:p>
        </w:tc>
      </w:tr>
      <w:tr w:rsidR="009A3AE6" w:rsidRPr="00E511F2" w:rsidTr="00E900F4">
        <w:trPr>
          <w:trHeight w:val="574"/>
        </w:trPr>
        <w:tc>
          <w:tcPr>
            <w:tcW w:w="608" w:type="dxa"/>
            <w:noWrap/>
            <w:hideMark/>
          </w:tcPr>
          <w:p w:rsidR="009A3AE6" w:rsidRPr="00E511F2" w:rsidRDefault="009A3AE6" w:rsidP="00E900F4">
            <w:pPr>
              <w:rPr>
                <w:rFonts w:eastAsia="Times New Roman"/>
                <w:b/>
                <w:bCs/>
              </w:rPr>
            </w:pPr>
            <w:r>
              <w:rPr>
                <w:rFonts w:eastAsia="Times New Roman"/>
                <w:b/>
                <w:bCs/>
              </w:rPr>
              <w:t>P4</w:t>
            </w:r>
          </w:p>
        </w:tc>
        <w:tc>
          <w:tcPr>
            <w:tcW w:w="8647" w:type="dxa"/>
            <w:noWrap/>
            <w:hideMark/>
          </w:tcPr>
          <w:p w:rsidR="009A3AE6" w:rsidRPr="00E511F2" w:rsidRDefault="009A3AE6" w:rsidP="00E900F4">
            <w:pPr>
              <w:jc w:val="both"/>
              <w:rPr>
                <w:rFonts w:eastAsia="Times New Roman"/>
              </w:rPr>
            </w:pPr>
            <w:r w:rsidRPr="00E511F2">
              <w:rPr>
                <w:rFonts w:eastAsia="Times New Roman"/>
              </w:rPr>
              <w:t xml:space="preserve">Planejamento dos investimentos de hardware e software seguindo </w:t>
            </w:r>
            <w:r w:rsidR="00855475" w:rsidRPr="00E511F2">
              <w:rPr>
                <w:rFonts w:eastAsia="Times New Roman"/>
              </w:rPr>
              <w:t>políticas</w:t>
            </w:r>
            <w:r w:rsidRPr="00E511F2">
              <w:rPr>
                <w:rFonts w:eastAsia="Times New Roman"/>
              </w:rPr>
              <w:t>, diretrizes e especificações definidas em instrumentos legais.</w:t>
            </w:r>
          </w:p>
        </w:tc>
      </w:tr>
      <w:tr w:rsidR="009A3AE6" w:rsidRPr="00E511F2" w:rsidTr="00E900F4">
        <w:trPr>
          <w:trHeight w:val="270"/>
        </w:trPr>
        <w:tc>
          <w:tcPr>
            <w:tcW w:w="608" w:type="dxa"/>
            <w:noWrap/>
            <w:hideMark/>
          </w:tcPr>
          <w:p w:rsidR="009A3AE6" w:rsidRPr="00E511F2" w:rsidRDefault="009A3AE6" w:rsidP="00E900F4">
            <w:pPr>
              <w:rPr>
                <w:rFonts w:eastAsia="Times New Roman"/>
                <w:lang w:val="en-US"/>
              </w:rPr>
            </w:pPr>
            <w:r>
              <w:rPr>
                <w:rFonts w:eastAsia="Times New Roman"/>
                <w:b/>
                <w:bCs/>
              </w:rPr>
              <w:t>P5</w:t>
            </w:r>
          </w:p>
        </w:tc>
        <w:tc>
          <w:tcPr>
            <w:tcW w:w="8647" w:type="dxa"/>
            <w:noWrap/>
            <w:hideMark/>
          </w:tcPr>
          <w:p w:rsidR="009A3AE6" w:rsidRPr="00E511F2" w:rsidRDefault="009A3AE6" w:rsidP="00E900F4">
            <w:pPr>
              <w:jc w:val="both"/>
              <w:rPr>
                <w:rFonts w:eastAsia="Times New Roman"/>
              </w:rPr>
            </w:pPr>
            <w:r w:rsidRPr="00E511F2">
              <w:rPr>
                <w:rFonts w:eastAsia="Times New Roman"/>
              </w:rPr>
              <w:t>Estimulo a</w:t>
            </w:r>
            <w:r w:rsidR="00855475">
              <w:rPr>
                <w:rFonts w:eastAsia="Times New Roman"/>
              </w:rPr>
              <w:t xml:space="preserve">̀ atuação dos servidores do Órgão </w:t>
            </w:r>
            <w:r w:rsidRPr="00E511F2">
              <w:rPr>
                <w:rFonts w:eastAsia="Times New Roman"/>
              </w:rPr>
              <w:t>como gestores, terceirizando a execução.</w:t>
            </w:r>
          </w:p>
        </w:tc>
      </w:tr>
      <w:tr w:rsidR="009A3AE6" w:rsidRPr="00E511F2" w:rsidTr="00E900F4">
        <w:trPr>
          <w:trHeight w:val="273"/>
        </w:trPr>
        <w:tc>
          <w:tcPr>
            <w:tcW w:w="608" w:type="dxa"/>
            <w:noWrap/>
            <w:hideMark/>
          </w:tcPr>
          <w:p w:rsidR="009A3AE6" w:rsidRPr="00E511F2" w:rsidRDefault="009A3AE6" w:rsidP="00E900F4">
            <w:pPr>
              <w:rPr>
                <w:rFonts w:eastAsia="Times New Roman"/>
                <w:b/>
                <w:bCs/>
              </w:rPr>
            </w:pPr>
            <w:r>
              <w:rPr>
                <w:rFonts w:eastAsia="Times New Roman"/>
                <w:b/>
                <w:bCs/>
              </w:rPr>
              <w:t>P6</w:t>
            </w:r>
          </w:p>
        </w:tc>
        <w:tc>
          <w:tcPr>
            <w:tcW w:w="8647" w:type="dxa"/>
            <w:noWrap/>
            <w:hideMark/>
          </w:tcPr>
          <w:p w:rsidR="009A3AE6" w:rsidRPr="00E511F2" w:rsidRDefault="009A3AE6" w:rsidP="00E900F4">
            <w:pPr>
              <w:jc w:val="both"/>
              <w:rPr>
                <w:rFonts w:eastAsia="Times New Roman"/>
              </w:rPr>
            </w:pPr>
            <w:r w:rsidRPr="00E511F2">
              <w:rPr>
                <w:rFonts w:eastAsia="Times New Roman"/>
              </w:rPr>
              <w:t>Garantia de suporte de informação adequado, dinâmico, confiável e eficaz.</w:t>
            </w:r>
          </w:p>
        </w:tc>
      </w:tr>
      <w:tr w:rsidR="009A3AE6" w:rsidRPr="00E511F2" w:rsidTr="00E900F4">
        <w:trPr>
          <w:trHeight w:val="548"/>
        </w:trPr>
        <w:tc>
          <w:tcPr>
            <w:tcW w:w="608" w:type="dxa"/>
            <w:noWrap/>
            <w:hideMark/>
          </w:tcPr>
          <w:p w:rsidR="009A3AE6" w:rsidRPr="00E511F2" w:rsidRDefault="009A3AE6" w:rsidP="00E900F4">
            <w:pPr>
              <w:rPr>
                <w:rFonts w:eastAsia="Times New Roman"/>
                <w:b/>
                <w:bCs/>
              </w:rPr>
            </w:pPr>
            <w:r>
              <w:rPr>
                <w:rFonts w:eastAsia="Times New Roman"/>
                <w:b/>
                <w:bCs/>
              </w:rPr>
              <w:t>P7</w:t>
            </w:r>
          </w:p>
        </w:tc>
        <w:tc>
          <w:tcPr>
            <w:tcW w:w="8647" w:type="dxa"/>
            <w:noWrap/>
            <w:hideMark/>
          </w:tcPr>
          <w:p w:rsidR="009A3AE6" w:rsidRPr="00E511F2" w:rsidRDefault="009A3AE6" w:rsidP="00E900F4">
            <w:pPr>
              <w:jc w:val="both"/>
              <w:rPr>
                <w:rFonts w:eastAsia="Times New Roman"/>
              </w:rPr>
            </w:pPr>
            <w:r w:rsidRPr="00E511F2">
              <w:rPr>
                <w:rFonts w:eastAsia="Times New Roman"/>
              </w:rPr>
              <w:t>Estímulo ao desenvolvimento, à padronização, à integração, à normalização dos serviços e à disseminação de</w:t>
            </w:r>
            <w:r>
              <w:rPr>
                <w:rFonts w:eastAsia="Times New Roman"/>
              </w:rPr>
              <w:t xml:space="preserve"> informações.</w:t>
            </w:r>
          </w:p>
        </w:tc>
      </w:tr>
    </w:tbl>
    <w:p w:rsidR="009A3AE6" w:rsidRDefault="009A3AE6" w:rsidP="00AF6D37">
      <w:pPr>
        <w:contextualSpacing/>
        <w:jc w:val="both"/>
        <w:rPr>
          <w:highlight w:val="white"/>
        </w:rPr>
      </w:pPr>
    </w:p>
    <w:p w:rsidR="009A3AE6" w:rsidRPr="009A3AE6" w:rsidRDefault="009A3AE6" w:rsidP="00AF6D37">
      <w:pPr>
        <w:contextualSpacing/>
        <w:jc w:val="both"/>
        <w:rPr>
          <w:b/>
          <w:highlight w:val="white"/>
        </w:rPr>
      </w:pPr>
      <w:r w:rsidRPr="009A3AE6">
        <w:rPr>
          <w:b/>
          <w:highlight w:val="white"/>
        </w:rPr>
        <w:t xml:space="preserve">Modelo de Diretrizes: </w:t>
      </w:r>
    </w:p>
    <w:p w:rsidR="009A3AE6" w:rsidRDefault="009A3AE6" w:rsidP="00AF6D37">
      <w:pPr>
        <w:contextualSpacing/>
        <w:jc w:val="both"/>
        <w:rPr>
          <w:highlight w:val="white"/>
        </w:rPr>
      </w:pPr>
    </w:p>
    <w:tbl>
      <w:tblPr>
        <w:tblW w:w="9356" w:type="dxa"/>
        <w:tblInd w:w="212" w:type="dxa"/>
        <w:tblCellMar>
          <w:left w:w="70" w:type="dxa"/>
          <w:right w:w="70" w:type="dxa"/>
        </w:tblCellMar>
        <w:tblLook w:val="04A0" w:firstRow="1" w:lastRow="0" w:firstColumn="1" w:lastColumn="0" w:noHBand="0" w:noVBand="1"/>
      </w:tblPr>
      <w:tblGrid>
        <w:gridCol w:w="544"/>
        <w:gridCol w:w="8812"/>
      </w:tblGrid>
      <w:tr w:rsidR="009A3AE6" w:rsidRPr="00E511F2" w:rsidTr="00E900F4">
        <w:trPr>
          <w:trHeight w:val="415"/>
        </w:trPr>
        <w:tc>
          <w:tcPr>
            <w:tcW w:w="544" w:type="dxa"/>
            <w:tcBorders>
              <w:top w:val="single" w:sz="4" w:space="0" w:color="000000"/>
              <w:left w:val="single" w:sz="4" w:space="0" w:color="000000"/>
              <w:bottom w:val="single" w:sz="4" w:space="0" w:color="000000"/>
              <w:right w:val="single" w:sz="4" w:space="0" w:color="000000"/>
            </w:tcBorders>
            <w:shd w:val="clear" w:color="008080" w:fill="F2F2F2"/>
            <w:vAlign w:val="center"/>
            <w:hideMark/>
          </w:tcPr>
          <w:p w:rsidR="009A3AE6" w:rsidRPr="00E511F2" w:rsidRDefault="009A3AE6" w:rsidP="00E900F4">
            <w:pPr>
              <w:jc w:val="center"/>
              <w:rPr>
                <w:rFonts w:eastAsia="Times New Roman"/>
                <w:b/>
                <w:bCs/>
              </w:rPr>
            </w:pPr>
            <w:r w:rsidRPr="00E511F2">
              <w:rPr>
                <w:rFonts w:eastAsia="Times New Roman"/>
                <w:b/>
                <w:bCs/>
              </w:rPr>
              <w:t>Id</w:t>
            </w:r>
          </w:p>
        </w:tc>
        <w:tc>
          <w:tcPr>
            <w:tcW w:w="8812" w:type="dxa"/>
            <w:tcBorders>
              <w:top w:val="single" w:sz="4" w:space="0" w:color="000000"/>
              <w:left w:val="nil"/>
              <w:bottom w:val="single" w:sz="4" w:space="0" w:color="000000"/>
              <w:right w:val="single" w:sz="4" w:space="0" w:color="000000"/>
            </w:tcBorders>
            <w:shd w:val="clear" w:color="008080" w:fill="F2F2F2"/>
            <w:vAlign w:val="center"/>
            <w:hideMark/>
          </w:tcPr>
          <w:p w:rsidR="009A3AE6" w:rsidRPr="00E511F2" w:rsidRDefault="009A3AE6" w:rsidP="00E900F4">
            <w:pPr>
              <w:jc w:val="center"/>
              <w:rPr>
                <w:rFonts w:eastAsia="Times New Roman"/>
                <w:b/>
                <w:bCs/>
              </w:rPr>
            </w:pPr>
            <w:r w:rsidRPr="00E511F2">
              <w:rPr>
                <w:rFonts w:eastAsia="Times New Roman"/>
                <w:b/>
                <w:bCs/>
              </w:rPr>
              <w:t>Diretriz</w:t>
            </w:r>
          </w:p>
        </w:tc>
      </w:tr>
      <w:tr w:rsidR="009A3AE6" w:rsidRPr="00E511F2" w:rsidTr="00E900F4">
        <w:trPr>
          <w:trHeight w:val="407"/>
        </w:trPr>
        <w:tc>
          <w:tcPr>
            <w:tcW w:w="544" w:type="dxa"/>
            <w:tcBorders>
              <w:top w:val="nil"/>
              <w:left w:val="single" w:sz="4" w:space="0" w:color="000000"/>
              <w:bottom w:val="single" w:sz="4" w:space="0" w:color="000000"/>
              <w:right w:val="single" w:sz="4" w:space="0" w:color="000000"/>
            </w:tcBorders>
            <w:shd w:val="clear" w:color="auto" w:fill="auto"/>
            <w:vAlign w:val="center"/>
            <w:hideMark/>
          </w:tcPr>
          <w:p w:rsidR="009A3AE6" w:rsidRPr="00E511F2" w:rsidRDefault="009A3AE6" w:rsidP="00E900F4">
            <w:pPr>
              <w:rPr>
                <w:rFonts w:eastAsia="Times New Roman"/>
                <w:b/>
                <w:bCs/>
              </w:rPr>
            </w:pPr>
            <w:r w:rsidRPr="00E511F2">
              <w:rPr>
                <w:rFonts w:eastAsia="Times New Roman"/>
                <w:b/>
                <w:bCs/>
              </w:rPr>
              <w:t xml:space="preserve">D1 </w:t>
            </w:r>
          </w:p>
        </w:tc>
        <w:tc>
          <w:tcPr>
            <w:tcW w:w="8812" w:type="dxa"/>
            <w:tcBorders>
              <w:top w:val="nil"/>
              <w:left w:val="single" w:sz="4" w:space="0" w:color="000000"/>
              <w:bottom w:val="single" w:sz="4" w:space="0" w:color="000000"/>
              <w:right w:val="single" w:sz="4" w:space="0" w:color="000000"/>
            </w:tcBorders>
            <w:shd w:val="clear" w:color="auto" w:fill="auto"/>
            <w:vAlign w:val="center"/>
            <w:hideMark/>
          </w:tcPr>
          <w:p w:rsidR="009A3AE6" w:rsidRPr="00E511F2" w:rsidRDefault="009A3AE6" w:rsidP="00E900F4">
            <w:pPr>
              <w:rPr>
                <w:rFonts w:eastAsia="Times New Roman"/>
              </w:rPr>
            </w:pPr>
            <w:r w:rsidRPr="00E511F2">
              <w:rPr>
                <w:rFonts w:eastAsia="Times New Roman"/>
              </w:rPr>
              <w:t xml:space="preserve">Promover a governança de TI </w:t>
            </w:r>
            <w:r w:rsidR="00855475">
              <w:rPr>
                <w:rFonts w:eastAsia="Times New Roman"/>
              </w:rPr>
              <w:t>no Órgão</w:t>
            </w:r>
            <w:r w:rsidRPr="00E511F2">
              <w:rPr>
                <w:rFonts w:eastAsia="Times New Roman"/>
              </w:rPr>
              <w:t xml:space="preserve">. </w:t>
            </w:r>
          </w:p>
        </w:tc>
      </w:tr>
      <w:tr w:rsidR="009A3AE6" w:rsidRPr="00E511F2" w:rsidTr="00E900F4">
        <w:trPr>
          <w:trHeight w:val="298"/>
        </w:trPr>
        <w:tc>
          <w:tcPr>
            <w:tcW w:w="544" w:type="dxa"/>
            <w:tcBorders>
              <w:top w:val="nil"/>
              <w:left w:val="single" w:sz="4" w:space="0" w:color="000000"/>
              <w:bottom w:val="single" w:sz="4" w:space="0" w:color="000000"/>
              <w:right w:val="single" w:sz="4" w:space="0" w:color="000000"/>
            </w:tcBorders>
            <w:shd w:val="clear" w:color="auto" w:fill="auto"/>
            <w:vAlign w:val="center"/>
            <w:hideMark/>
          </w:tcPr>
          <w:p w:rsidR="009A3AE6" w:rsidRPr="00E511F2" w:rsidRDefault="009A3AE6" w:rsidP="00E900F4">
            <w:pPr>
              <w:rPr>
                <w:rFonts w:eastAsia="Times New Roman"/>
                <w:b/>
                <w:bCs/>
              </w:rPr>
            </w:pPr>
            <w:r w:rsidRPr="00E511F2">
              <w:rPr>
                <w:rFonts w:eastAsia="Times New Roman"/>
                <w:b/>
                <w:bCs/>
              </w:rPr>
              <w:t xml:space="preserve">D2 </w:t>
            </w:r>
          </w:p>
        </w:tc>
        <w:tc>
          <w:tcPr>
            <w:tcW w:w="8812" w:type="dxa"/>
            <w:tcBorders>
              <w:top w:val="nil"/>
              <w:left w:val="single" w:sz="4" w:space="0" w:color="000000"/>
              <w:bottom w:val="single" w:sz="4" w:space="0" w:color="000000"/>
              <w:right w:val="single" w:sz="4" w:space="0" w:color="auto"/>
            </w:tcBorders>
            <w:shd w:val="clear" w:color="auto" w:fill="auto"/>
            <w:vAlign w:val="center"/>
            <w:hideMark/>
          </w:tcPr>
          <w:p w:rsidR="009A3AE6" w:rsidRPr="00E511F2" w:rsidRDefault="009A3AE6" w:rsidP="00E900F4">
            <w:pPr>
              <w:rPr>
                <w:rFonts w:eastAsia="Times New Roman"/>
              </w:rPr>
            </w:pPr>
            <w:r w:rsidRPr="00E511F2">
              <w:rPr>
                <w:rFonts w:eastAsia="Times New Roman"/>
              </w:rPr>
              <w:t xml:space="preserve">Buscar excelência, inovação e criatividade na gestão. </w:t>
            </w:r>
          </w:p>
        </w:tc>
      </w:tr>
      <w:tr w:rsidR="009A3AE6" w:rsidRPr="00E511F2" w:rsidTr="00E900F4">
        <w:trPr>
          <w:trHeight w:val="285"/>
        </w:trPr>
        <w:tc>
          <w:tcPr>
            <w:tcW w:w="544" w:type="dxa"/>
            <w:tcBorders>
              <w:top w:val="nil"/>
              <w:left w:val="single" w:sz="4" w:space="0" w:color="000000"/>
              <w:bottom w:val="nil"/>
              <w:right w:val="single" w:sz="4" w:space="0" w:color="000000"/>
            </w:tcBorders>
            <w:shd w:val="clear" w:color="auto" w:fill="auto"/>
            <w:vAlign w:val="center"/>
            <w:hideMark/>
          </w:tcPr>
          <w:p w:rsidR="009A3AE6" w:rsidRPr="00E511F2" w:rsidRDefault="009A3AE6" w:rsidP="00E900F4">
            <w:pPr>
              <w:rPr>
                <w:rFonts w:eastAsia="Times New Roman"/>
                <w:b/>
                <w:bCs/>
              </w:rPr>
            </w:pPr>
            <w:r w:rsidRPr="00E511F2">
              <w:rPr>
                <w:rFonts w:eastAsia="Times New Roman"/>
                <w:b/>
                <w:bCs/>
              </w:rPr>
              <w:t>D3</w:t>
            </w:r>
          </w:p>
        </w:tc>
        <w:tc>
          <w:tcPr>
            <w:tcW w:w="8812" w:type="dxa"/>
            <w:tcBorders>
              <w:top w:val="nil"/>
              <w:left w:val="nil"/>
              <w:bottom w:val="nil"/>
              <w:right w:val="single" w:sz="4" w:space="0" w:color="000000"/>
            </w:tcBorders>
            <w:shd w:val="clear" w:color="auto" w:fill="auto"/>
            <w:vAlign w:val="center"/>
            <w:hideMark/>
          </w:tcPr>
          <w:p w:rsidR="009A3AE6" w:rsidRPr="00E511F2" w:rsidRDefault="009A3AE6" w:rsidP="00E900F4">
            <w:pPr>
              <w:rPr>
                <w:rFonts w:eastAsia="Times New Roman"/>
              </w:rPr>
            </w:pPr>
            <w:r w:rsidRPr="00E511F2">
              <w:rPr>
                <w:rFonts w:eastAsia="Times New Roman"/>
              </w:rPr>
              <w:t>Garantir atendimento de qualidade aos usuários</w:t>
            </w:r>
            <w:r>
              <w:rPr>
                <w:rFonts w:eastAsia="Times New Roman"/>
              </w:rPr>
              <w:t>.</w:t>
            </w:r>
          </w:p>
        </w:tc>
      </w:tr>
      <w:tr w:rsidR="009A3AE6" w:rsidRPr="00E511F2" w:rsidTr="00E900F4">
        <w:trPr>
          <w:trHeight w:val="704"/>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A3AE6" w:rsidRPr="00E511F2" w:rsidRDefault="009A3AE6" w:rsidP="00E900F4">
            <w:pPr>
              <w:rPr>
                <w:rFonts w:eastAsia="Times New Roman"/>
                <w:b/>
                <w:bCs/>
              </w:rPr>
            </w:pPr>
            <w:r w:rsidRPr="00E511F2">
              <w:rPr>
                <w:rFonts w:eastAsia="Times New Roman"/>
                <w:b/>
                <w:bCs/>
              </w:rPr>
              <w:t xml:space="preserve">D4 </w:t>
            </w:r>
          </w:p>
        </w:tc>
        <w:tc>
          <w:tcPr>
            <w:tcW w:w="8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A3AE6" w:rsidRPr="00E511F2" w:rsidRDefault="009A3AE6" w:rsidP="00E900F4">
            <w:pPr>
              <w:rPr>
                <w:rFonts w:eastAsia="Times New Roman"/>
              </w:rPr>
            </w:pPr>
            <w:r w:rsidRPr="00E511F2">
              <w:rPr>
                <w:rFonts w:eastAsia="Times New Roman"/>
              </w:rPr>
              <w:t xml:space="preserve">Garantir que as propostas orçamentárias de TIC sejam elaboradas com base em planejamentos e alinhadas com os objetivos de negócio. </w:t>
            </w:r>
          </w:p>
        </w:tc>
      </w:tr>
    </w:tbl>
    <w:p w:rsidR="009A3AE6" w:rsidRDefault="009A3AE6" w:rsidP="00AF6D37">
      <w:pPr>
        <w:contextualSpacing/>
        <w:jc w:val="both"/>
        <w:rPr>
          <w:highlight w:val="white"/>
        </w:rPr>
      </w:pPr>
    </w:p>
    <w:sectPr w:rsidR="009A3AE6">
      <w:head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CC5" w:rsidRDefault="00B47CC5" w:rsidP="00405D06">
      <w:pPr>
        <w:spacing w:line="240" w:lineRule="auto"/>
      </w:pPr>
      <w:r>
        <w:separator/>
      </w:r>
    </w:p>
  </w:endnote>
  <w:endnote w:type="continuationSeparator" w:id="0">
    <w:p w:rsidR="00B47CC5" w:rsidRDefault="00B47CC5" w:rsidP="00405D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CC5" w:rsidRDefault="00B47CC5" w:rsidP="00405D06">
      <w:pPr>
        <w:spacing w:line="240" w:lineRule="auto"/>
      </w:pPr>
      <w:r>
        <w:separator/>
      </w:r>
    </w:p>
  </w:footnote>
  <w:footnote w:type="continuationSeparator" w:id="0">
    <w:p w:rsidR="00B47CC5" w:rsidRDefault="00B47CC5" w:rsidP="00405D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D06" w:rsidRDefault="00405D06">
    <w:pPr>
      <w:pStyle w:val="Cabealho"/>
    </w:pPr>
  </w:p>
  <w:p w:rsidR="00405D06" w:rsidRDefault="00405D06">
    <w:pPr>
      <w:pStyle w:val="Cabealho"/>
    </w:pPr>
  </w:p>
  <w:p w:rsidR="00405D06" w:rsidRDefault="00405D06" w:rsidP="00405D06">
    <w:pPr>
      <w:pStyle w:val="Cabealho"/>
    </w:pPr>
    <w:r>
      <w:rPr>
        <w:rFonts w:ascii="Calibri" w:eastAsia="Times New Roman" w:hAnsi="Calibri" w:cs="Times New Roman"/>
        <w:b/>
        <w:noProof/>
        <w:sz w:val="28"/>
      </w:rPr>
      <w:drawing>
        <wp:inline distT="0" distB="0" distL="0" distR="0" wp14:anchorId="0AF8988F" wp14:editId="7E0169FB">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r>
      <w:rPr>
        <w:rFonts w:ascii="Calibri" w:eastAsia="Times New Roman" w:hAnsi="Calibri" w:cs="Times New Roman"/>
        <w:b/>
        <w:sz w:val="28"/>
      </w:rPr>
      <w:tab/>
    </w:r>
    <w:r>
      <w:rPr>
        <w:rFonts w:ascii="Calibri" w:eastAsia="Times New Roman" w:hAnsi="Calibri" w:cs="Times New Roman"/>
        <w:b/>
        <w:sz w:val="28"/>
      </w:rPr>
      <w:tab/>
    </w:r>
    <w:r>
      <w:rPr>
        <w:rFonts w:ascii="Calibri" w:eastAsia="Times New Roman" w:hAnsi="Calibri" w:cs="Times New Roman"/>
        <w:b/>
        <w:sz w:val="28"/>
      </w:rPr>
      <w:tab/>
      <w:t xml:space="preserve">                                                Ministério do Planejamento, Desenvolvimento e Gestão </w:t>
    </w:r>
  </w:p>
  <w:p w:rsidR="00405D06" w:rsidRDefault="00405D06" w:rsidP="00405D06">
    <w:pPr>
      <w:pStyle w:val="Cabealho"/>
      <w:jc w:val="right"/>
    </w:pPr>
    <w:r>
      <w:rPr>
        <w:rFonts w:ascii="Calibri" w:eastAsia="Times New Roman" w:hAnsi="Calibri" w:cs="Times New Roman"/>
        <w:sz w:val="28"/>
      </w:rPr>
      <w:t xml:space="preserve">Secretaria de Coordenação e Governança das Empresas Estatais </w:t>
    </w:r>
  </w:p>
  <w:p w:rsidR="00405D06" w:rsidRDefault="00405D0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A1084"/>
    <w:multiLevelType w:val="multilevel"/>
    <w:tmpl w:val="AD6C88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AD0413C"/>
    <w:multiLevelType w:val="multilevel"/>
    <w:tmpl w:val="C8A054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112738C"/>
    <w:multiLevelType w:val="multilevel"/>
    <w:tmpl w:val="16287D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87B13A2"/>
    <w:multiLevelType w:val="multilevel"/>
    <w:tmpl w:val="AD5E8B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6F6429B7"/>
    <w:multiLevelType w:val="multilevel"/>
    <w:tmpl w:val="02B064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75EF9"/>
    <w:rsid w:val="00105BC5"/>
    <w:rsid w:val="002D7090"/>
    <w:rsid w:val="00405D06"/>
    <w:rsid w:val="005070E3"/>
    <w:rsid w:val="00575D95"/>
    <w:rsid w:val="00746053"/>
    <w:rsid w:val="00855475"/>
    <w:rsid w:val="00865E88"/>
    <w:rsid w:val="009A3AE6"/>
    <w:rsid w:val="00A51561"/>
    <w:rsid w:val="00A75EF9"/>
    <w:rsid w:val="00AF6D37"/>
    <w:rsid w:val="00B45BC3"/>
    <w:rsid w:val="00B47CC5"/>
    <w:rsid w:val="00BE7E8E"/>
    <w:rsid w:val="00CC3D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DF0457-20E0-4EC3-9E7D-E0E04F20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pt-BR" w:eastAsia="pt-B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Cabealho">
    <w:name w:val="header"/>
    <w:basedOn w:val="Normal"/>
    <w:link w:val="CabealhoChar"/>
    <w:unhideWhenUsed/>
    <w:rsid w:val="00405D06"/>
    <w:pPr>
      <w:tabs>
        <w:tab w:val="center" w:pos="4252"/>
        <w:tab w:val="right" w:pos="8504"/>
      </w:tabs>
      <w:spacing w:line="240" w:lineRule="auto"/>
    </w:pPr>
  </w:style>
  <w:style w:type="character" w:customStyle="1" w:styleId="CabealhoChar">
    <w:name w:val="Cabeçalho Char"/>
    <w:basedOn w:val="Fontepargpadro"/>
    <w:link w:val="Cabealho"/>
    <w:uiPriority w:val="99"/>
    <w:rsid w:val="00405D06"/>
  </w:style>
  <w:style w:type="paragraph" w:styleId="Rodap">
    <w:name w:val="footer"/>
    <w:basedOn w:val="Normal"/>
    <w:link w:val="RodapChar"/>
    <w:uiPriority w:val="99"/>
    <w:unhideWhenUsed/>
    <w:rsid w:val="00405D06"/>
    <w:pPr>
      <w:tabs>
        <w:tab w:val="center" w:pos="4252"/>
        <w:tab w:val="right" w:pos="8504"/>
      </w:tabs>
      <w:spacing w:line="240" w:lineRule="auto"/>
    </w:pPr>
  </w:style>
  <w:style w:type="character" w:customStyle="1" w:styleId="RodapChar">
    <w:name w:val="Rodapé Char"/>
    <w:basedOn w:val="Fontepargpadro"/>
    <w:link w:val="Rodap"/>
    <w:uiPriority w:val="99"/>
    <w:rsid w:val="00405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767</Words>
  <Characters>4148</Characters>
  <Application>Microsoft Office Word</Application>
  <DocSecurity>0</DocSecurity>
  <Lines>34</Lines>
  <Paragraphs>9</Paragraphs>
  <ScaleCrop>false</ScaleCrop>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Edna Canedo</cp:lastModifiedBy>
  <cp:revision>15</cp:revision>
  <dcterms:created xsi:type="dcterms:W3CDTF">2017-06-19T14:08:00Z</dcterms:created>
  <dcterms:modified xsi:type="dcterms:W3CDTF">2017-06-19T17:11:00Z</dcterms:modified>
</cp:coreProperties>
</file>