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right"/>
        <w:rPr/>
      </w:pPr>
      <w:bookmarkStart w:id="0" w:name="__DdeLink__74_2549469932"/>
      <w:r>
        <w:rPr>
          <w:rFonts w:cs="Times New Roman"/>
          <w:sz w:val="24"/>
          <w:szCs w:val="24"/>
        </w:rPr>
        <w:t>Brasília, 12 de setembro de 2017.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/>
          <w:b/>
        </w:rPr>
        <w:t>RESPOSTA AO PEDIDO DE ESCLARECIMENTO N.º 1</w:t>
      </w:r>
      <w:r>
        <w:rPr>
          <w:rFonts w:cs="Times New Roman"/>
          <w:b/>
        </w:rPr>
        <w:t>3</w:t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</w:rPr>
        <w:tab/>
        <w:t xml:space="preserve">Trata-se de pedido de esclarecimento apresentado pela empresa NCT acerca dos termos do Edital de Pregão Eletrônico nº 5/2017 - UASG 201057, que tem por objeto o </w:t>
      </w:r>
      <w:r>
        <w:rPr>
          <w:rFonts w:cs="TimesNewRomanPS-BoldMT"/>
          <w:b/>
          <w:bCs/>
        </w:rPr>
        <w:t xml:space="preserve">REGISTRO DE PREÇOS, </w:t>
      </w:r>
      <w:r>
        <w:rPr>
          <w:rFonts w:cs="TimesNewRomanPSMT"/>
        </w:rPr>
        <w:t xml:space="preserve">para eventual aquisição, de soluções de segurança de redes compostas de </w:t>
      </w:r>
      <w:r>
        <w:rPr>
          <w:rFonts w:cs="TimesNewRomanPS-ItalicMT"/>
          <w:i/>
          <w:iCs/>
        </w:rPr>
        <w:t xml:space="preserve">firewall </w:t>
      </w:r>
      <w:r>
        <w:rPr>
          <w:rFonts w:cs="TimesNewRomanPSMT"/>
        </w:rPr>
        <w:t xml:space="preserve">corporativo e multifuncional para prover segurança e proteção da rede de computadores, contemplando gerência unificada com garantia de funcionamento pelo período de 60 (sessenta) meses, incluindo todos os </w:t>
      </w:r>
      <w:r>
        <w:rPr>
          <w:rFonts w:cs="TimesNewRomanPS-ItalicMT"/>
          <w:i/>
          <w:iCs/>
        </w:rPr>
        <w:t xml:space="preserve">softwares </w:t>
      </w:r>
      <w:r>
        <w:rPr>
          <w:rFonts w:cs="TimesNewRomanPSMT"/>
        </w:rPr>
        <w:t>e suas licenças de uso, gerenciamento centralizado, serviços de implantação, garantia de atualização contínua e suporte técnico durante o período de garantia com repasse de conhecimento da solução a fim de atender às necessidades dos contratantes</w:t>
      </w:r>
      <w:r>
        <w:rPr>
          <w:rFonts w:cs="Times New Roman"/>
        </w:rPr>
        <w:t>.</w:t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</w:rPr>
        <w:tab/>
        <w:t>Considerando que o esclarecimento trata-se de exigência estabelecidas no Termo de Referência, Anexo I do Edital do Pregão n.º 5/2017, o assunto foi submetido à análise e manifestação da Área Técnica.</w:t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tabs>
          <w:tab w:val="left" w:pos="709" w:leader="none"/>
        </w:tabs>
        <w:spacing w:lineRule="auto" w:line="240" w:before="0" w:after="0"/>
        <w:ind w:left="0" w:hanging="0"/>
        <w:jc w:val="both"/>
        <w:rPr>
          <w:rFonts w:cs="Times New Roman"/>
          <w:b/>
          <w:b/>
        </w:rPr>
      </w:pPr>
      <w:r>
        <w:rPr>
          <w:rFonts w:cs="Times New Roman"/>
          <w:b/>
        </w:rPr>
        <w:t>ESCLARECIMENTO SOLICITADO: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212121"/>
          <w:shd w:fill="FFFFFF" w:val="clear"/>
          <w:lang w:eastAsia="pt-BR"/>
        </w:rPr>
        <w:t>“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212121"/>
          <w:spacing w:val="0"/>
          <w:sz w:val="22"/>
          <w:shd w:fill="FFFFFF" w:val="clear"/>
          <w:lang w:eastAsia="pt-BR"/>
        </w:rPr>
        <w:t>21) Considerando o contido no item 2.7.7 do Termo de Referência, entendemos que o material oficial de treinamento do fabricante poderá estar redigido na língua inglesa e a sessão de treinamento deverá ser realizada em língua portuguesa. Está correto o nosso entendimento?</w:t>
      </w:r>
    </w:p>
    <w:p>
      <w:pPr>
        <w:pStyle w:val="Corpodetexto"/>
        <w:widowControl/>
        <w:spacing w:before="0" w:after="0"/>
        <w:ind w:left="0" w:right="0" w:hanging="0"/>
        <w:jc w:val="both"/>
        <w:rPr/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etexto"/>
        <w:widowControl/>
        <w:spacing w:before="0" w:after="0"/>
        <w:ind w:left="0" w:right="0" w:hanging="0"/>
        <w:jc w:val="both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22) Considerando o contido nos itens 2.7.6  e 2.7.7 do Termo de Referência, onde estipulam que deve ser utilizado material oficial de treinamento do fabricante e que deverá ser disponibilizada a documentação didática em 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  <w:u w:val="single"/>
        </w:rPr>
        <w:t>papel impresso e mídia digital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, questionamos a necessidade da documentação didática em papel impresso, pois trata-se de material a ser importado e de alto custo frente a já prevista entrega do material em mídia digital, que não requer transporte e é de fácil distribuição e leitura em computadores. O volume de apostilas em papel impresso será muito grande, já que para cada lote estão previstos apostilas nas quantidades : LOTE 1: 640 apostilas, LOTE 2: 110 apostilas, LOTE 3: 430 apostilas, LOTE 4: 195 apostilas e LOTE 5: 65 apostilas. O valor estimado de aproximadamente R$7 milhões de reais em treinamento já demonstra que os custos estão muito altos e grande parte por conta do material ter que ser entregue impresso. Tendo em mente essas considerações e o ônus envolvido na entrega de material impresso (apostilas), entendemos que a entrega de material didático poderá ser realizada apenas em mídia digital. Está correto o nosso entendimento?</w:t>
      </w:r>
    </w:p>
    <w:p>
      <w:pPr>
        <w:pStyle w:val="Corpodetexto"/>
        <w:widowControl/>
        <w:spacing w:before="0" w:after="0"/>
        <w:ind w:left="0" w:right="0" w:hanging="0"/>
        <w:jc w:val="both"/>
        <w:rPr/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etexto"/>
        <w:widowControl/>
        <w:spacing w:before="0" w:after="0"/>
        <w:ind w:left="0" w:right="0" w:hanging="0"/>
        <w:jc w:val="both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23) Considerando que a solução a ser ofertada para todos os lotes busca atender demandas da rede corporativa da administração pública e que tais demandas envolvem a proteção de todos os elementos que utilizam os serviços de rede, tais como estações de trabalho, notebooks, servidores, dispositivos móveis e outros dispositivos, entendemos que os requisitos de proteção exigidos nos itens 2.3.7 e 2.4.7 devem ser atendidos para todos e quaisquer elementos ou dispositivos que utilizem os serviços da rede, inclusive para os dispositivos citados no item 2.1.54.1. Está correto o nosso entendimento?</w:t>
      </w:r>
    </w:p>
    <w:p>
      <w:pPr>
        <w:pStyle w:val="Corpodetexto"/>
        <w:widowControl/>
        <w:spacing w:before="0" w:after="0"/>
        <w:ind w:left="0" w:right="0" w:hanging="0"/>
        <w:jc w:val="both"/>
        <w:rPr/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  <w:highlight w:val="white"/>
          <w:lang w:eastAsia="pt-BR"/>
        </w:rPr>
        <w:t>24) Considerando a resposta ao questionamento 20 enviado por nós e a sua resposta:  </w:t>
      </w:r>
      <w:r>
        <w:rPr>
          <w:rFonts w:eastAsia="Times New Roman" w:cs="Times New Roman" w:ascii="Calibri;sans-serif" w:hAnsi="Calibri;sans-serif"/>
          <w:b/>
          <w:i w:val="false"/>
          <w:caps w:val="false"/>
          <w:smallCaps w:val="false"/>
          <w:color w:val="000000"/>
          <w:spacing w:val="0"/>
          <w:sz w:val="22"/>
          <w:highlight w:val="white"/>
          <w:lang w:eastAsia="pt-BR"/>
        </w:rPr>
        <w:t>RESPOSTA DA ÁREA TÉCNICA: “</w:t>
      </w:r>
      <w:r>
        <w:rPr>
          <w:rFonts w:eastAsia="Times New Roman" w:cs="Times New Roman" w:ascii="Calibri;sans-serif" w:hAnsi="Calibri;sans-serif"/>
          <w:b w:val="false"/>
          <w:i/>
          <w:caps w:val="false"/>
          <w:smallCaps w:val="false"/>
          <w:color w:val="212121"/>
          <w:spacing w:val="0"/>
          <w:sz w:val="22"/>
          <w:highlight w:val="white"/>
          <w:lang w:eastAsia="pt-BR"/>
        </w:rPr>
        <w:t>Em função da diversidade de possibilidades de atendimento ao item de gerência, optou-se por permitir o fornecimento de solução em diversas formas, conforme estabelecido nos itens 2.2.1.1, 2.2.1.2 e 2.2.1.3 do Anexo B do Termo de Referência. Dessa forma, cabe a licitante escolher e compatibilizar a forma que entenda ser adequada.</w:t>
      </w:r>
      <w:r>
        <w:rPr>
          <w:rFonts w:eastAsia="Times New Roman" w:cs="Times New Roman" w:ascii="Calibri;sans-serif" w:hAnsi="Calibri;sans-serif"/>
          <w:b w:val="false"/>
          <w:i w:val="false"/>
          <w:caps w:val="false"/>
          <w:smallCaps w:val="false"/>
          <w:color w:val="212121"/>
          <w:spacing w:val="0"/>
          <w:sz w:val="22"/>
          <w:highlight w:val="white"/>
          <w:lang w:eastAsia="pt-BR"/>
        </w:rPr>
        <w:t>”, entendemos que a exigência do item 7.8. “A oferta deverá ser firme e precisa, limitada, rigorosamente, ao objeto deste Edital, sem conter alternativas de preço ou qualquer outra condição que induza o julgamento a mais de um resultado, sob pena de não aceitação.”, entendemos que a proposta comercial para os itens de gerenciamento centralizado de cada lote, apesar de ser permitido o fornecimento de soluções em diversas formas, deverá apresentar apenas uma opção de preço para cada item respectivo. Está correto o nosso entendimento?</w:t>
      </w:r>
      <w:r>
        <w:rPr>
          <w:rFonts w:eastAsia="Times New Roman" w:cs="Times New Roman"/>
          <w:color w:val="212121"/>
          <w:shd w:fill="FFFFFF" w:val="clear"/>
          <w:lang w:eastAsia="pt-BR"/>
        </w:rPr>
        <w:t>”</w:t>
      </w:r>
    </w:p>
    <w:p>
      <w:pPr>
        <w:pStyle w:val="Normal"/>
        <w:spacing w:lineRule="auto" w:line="240" w:before="0" w:after="0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cs="Times New Roman"/>
          <w:b/>
          <w:b/>
        </w:rPr>
      </w:pPr>
      <w:r>
        <w:rPr>
          <w:rFonts w:cs="Times New Roman"/>
          <w:b/>
        </w:rPr>
        <w:t>RESPOSTA DA ÁREA TÉCNICA:</w:t>
      </w:r>
    </w:p>
    <w:p>
      <w:pPr>
        <w:pStyle w:val="Normal"/>
        <w:spacing w:lineRule="auto" w:line="240" w:before="0" w:after="0"/>
        <w:jc w:val="both"/>
        <w:rPr/>
      </w:pPr>
      <w:r>
        <w:rPr>
          <w:i/>
        </w:rPr>
        <w:t>““</w:t>
      </w:r>
      <w:r>
        <w:rPr>
          <w:rFonts w:eastAsia="Times New Roman" w:cs="Calibri"/>
          <w:b/>
          <w:bCs/>
          <w:i/>
          <w:color w:val="212121"/>
          <w:lang w:eastAsia="pt-BR" w:bidi="he-IL"/>
        </w:rPr>
        <w:t>21 -</w:t>
      </w:r>
      <w:r>
        <w:rPr>
          <w:rFonts w:eastAsia="Times New Roman" w:cs="Calibri"/>
          <w:i/>
          <w:color w:val="212121"/>
          <w:lang w:eastAsia="pt-BR" w:bidi="he-IL"/>
        </w:rPr>
        <w:t xml:space="preserve"> </w:t>
      </w:r>
      <w:r>
        <w:rPr>
          <w:rFonts w:eastAsia="Times New Roman" w:cs="Calibri"/>
          <w:i/>
          <w:color w:val="FF0000"/>
          <w:lang w:eastAsia="pt-BR" w:bidi="he-IL"/>
        </w:rPr>
        <w:t xml:space="preserve">Resposta: </w:t>
      </w:r>
      <w:r>
        <w:rPr>
          <w:rFonts w:eastAsia="Times New Roman" w:cs="Calibri"/>
          <w:i/>
          <w:color w:val="212121"/>
          <w:lang w:eastAsia="pt-BR" w:bidi="he-IL"/>
        </w:rPr>
        <w:t>O entendimento está correto, desde que os materiais de apoio ao material oficial do fabricante estejam em língua portuguesa (slides do curso, instruções, complementações etc).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b/>
          <w:b/>
          <w:bCs/>
          <w:i/>
          <w:i/>
          <w:color w:val="212121"/>
          <w:lang w:eastAsia="pt-BR" w:bidi="he-IL"/>
        </w:rPr>
      </w:pPr>
      <w:r>
        <w:rPr>
          <w:rFonts w:eastAsia="Times New Roman" w:cs="Calibri"/>
          <w:b/>
          <w:bCs/>
          <w:i/>
          <w:color w:val="212121"/>
          <w:lang w:eastAsia="pt-BR" w:bidi="he-I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Calibri"/>
          <w:b/>
          <w:bCs/>
          <w:i/>
          <w:color w:val="212121"/>
          <w:lang w:eastAsia="pt-BR" w:bidi="he-IL"/>
        </w:rPr>
        <w:t>22 -</w:t>
      </w:r>
      <w:r>
        <w:rPr>
          <w:rFonts w:eastAsia="Times New Roman" w:cs="Calibri"/>
          <w:i/>
          <w:color w:val="212121"/>
          <w:lang w:eastAsia="pt-BR" w:bidi="he-IL"/>
        </w:rPr>
        <w:t xml:space="preserve"> </w:t>
      </w:r>
      <w:r>
        <w:rPr>
          <w:rFonts w:eastAsia="Times New Roman" w:cs="Calibri"/>
          <w:i/>
          <w:color w:val="FF0000"/>
          <w:lang w:eastAsia="pt-BR" w:bidi="he-IL"/>
        </w:rPr>
        <w:t xml:space="preserve"> Resposta: </w:t>
      </w:r>
      <w:r>
        <w:rPr>
          <w:rFonts w:eastAsia="Times New Roman" w:cs="Calibri"/>
          <w:i/>
          <w:color w:val="212121"/>
          <w:lang w:eastAsia="pt-BR" w:bidi="he-IL"/>
        </w:rPr>
        <w:t>O entendimento está incorreto. Atenham-se ao item 2.7.6 do Anexo B do Termo de Referência.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b/>
          <w:b/>
          <w:bCs/>
          <w:i/>
          <w:i/>
          <w:color w:val="212121"/>
          <w:lang w:eastAsia="pt-BR" w:bidi="he-IL"/>
        </w:rPr>
      </w:pPr>
      <w:r>
        <w:rPr>
          <w:rFonts w:eastAsia="Times New Roman" w:cs="Calibri"/>
          <w:b/>
          <w:bCs/>
          <w:i/>
          <w:color w:val="212121"/>
          <w:lang w:eastAsia="pt-BR" w:bidi="he-I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Calibri"/>
          <w:b/>
          <w:bCs/>
          <w:i/>
          <w:color w:val="212121"/>
          <w:lang w:eastAsia="pt-BR" w:bidi="he-IL"/>
        </w:rPr>
        <w:t xml:space="preserve">23 - </w:t>
      </w:r>
      <w:r>
        <w:rPr>
          <w:rFonts w:eastAsia="Times New Roman" w:cs="Calibri"/>
          <w:i/>
          <w:color w:val="FF0000"/>
          <w:highlight w:val="white"/>
          <w:lang w:eastAsia="pt-BR" w:bidi="he-IL"/>
        </w:rPr>
        <w:t xml:space="preserve">Resposta: </w:t>
      </w:r>
      <w:r>
        <w:rPr>
          <w:rFonts w:eastAsia="Times New Roman" w:cs="Calibri"/>
          <w:i/>
          <w:color w:val="212121"/>
          <w:highlight w:val="white"/>
          <w:lang w:eastAsia="pt-BR" w:bidi="he-IL"/>
        </w:rPr>
        <w:t>Não está correto o entendimento. A solução ofertada deve atender as funcionalidades estabelecidas nos itens 2.3.7 e 2.4.7 do Anexo A – Termo de Referência do Pregão n</w:t>
      </w:r>
      <w:r>
        <w:rPr>
          <w:rFonts w:eastAsia="Times New Roman" w:cs="Calibri"/>
          <w:i/>
          <w:color w:val="212121"/>
          <w:highlight w:val="white"/>
          <w:vertAlign w:val="superscript"/>
          <w:lang w:eastAsia="pt-BR" w:bidi="he-IL"/>
        </w:rPr>
        <w:t>o</w:t>
      </w:r>
      <w:r>
        <w:rPr>
          <w:rFonts w:eastAsia="Times New Roman" w:cs="Calibri"/>
          <w:i/>
          <w:color w:val="212121"/>
          <w:highlight w:val="white"/>
          <w:lang w:eastAsia="pt-BR" w:bidi="he-IL"/>
        </w:rPr>
        <w:t xml:space="preserve"> 5/2017. De forma independente desses itens 2.3.7 e 2.4.7, a mesma solução deve atender o estabelecido no item 2.1.54.1</w:t>
      </w:r>
      <w:bookmarkStart w:id="1" w:name="_GoBack1"/>
      <w:bookmarkEnd w:id="1"/>
      <w:r>
        <w:rPr>
          <w:rFonts w:eastAsia="Times New Roman" w:cs="Calibri"/>
          <w:i/>
          <w:color w:val="212121"/>
          <w:highlight w:val="white"/>
          <w:lang w:eastAsia="pt-BR" w:bidi="he-IL"/>
        </w:rPr>
        <w:t>. Assim, não existe a exigência de atendimento cumulativo ou combinado dos itens 2.3.7 / 2.4.7 e do item 2.1.54.1 do Anexo A – Termo de Referência do Pregão n</w:t>
      </w:r>
      <w:r>
        <w:rPr>
          <w:rFonts w:eastAsia="Times New Roman" w:cs="Calibri"/>
          <w:i/>
          <w:color w:val="212121"/>
          <w:highlight w:val="white"/>
          <w:vertAlign w:val="superscript"/>
          <w:lang w:eastAsia="pt-BR" w:bidi="he-IL"/>
        </w:rPr>
        <w:t>o</w:t>
      </w:r>
      <w:r>
        <w:rPr>
          <w:rFonts w:eastAsia="Times New Roman" w:cs="Calibri"/>
          <w:i/>
          <w:color w:val="212121"/>
          <w:highlight w:val="white"/>
          <w:lang w:eastAsia="pt-BR" w:bidi="he-IL"/>
        </w:rPr>
        <w:t xml:space="preserve"> 5/2017.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b/>
          <w:b/>
          <w:bCs/>
          <w:i/>
          <w:i/>
          <w:color w:val="212121"/>
          <w:highlight w:val="white"/>
          <w:lang w:eastAsia="pt-BR" w:bidi="he-IL"/>
        </w:rPr>
      </w:pPr>
      <w:r>
        <w:rPr>
          <w:rFonts w:eastAsia="Times New Roman" w:cs="Calibri"/>
          <w:b/>
          <w:bCs/>
          <w:i/>
          <w:color w:val="212121"/>
          <w:highlight w:val="white"/>
          <w:lang w:eastAsia="pt-BR" w:bidi="he-I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Calibri"/>
          <w:b/>
          <w:bCs/>
          <w:i/>
          <w:color w:val="212121"/>
          <w:highlight w:val="white"/>
          <w:lang w:eastAsia="pt-BR" w:bidi="he-IL"/>
        </w:rPr>
        <w:t>24 -</w:t>
      </w:r>
      <w:r>
        <w:rPr>
          <w:rFonts w:eastAsia="Times New Roman" w:cs="Calibri"/>
          <w:i/>
          <w:color w:val="212121"/>
          <w:highlight w:val="white"/>
          <w:lang w:eastAsia="pt-BR" w:bidi="he-IL"/>
        </w:rPr>
        <w:t xml:space="preserve"> </w:t>
      </w:r>
      <w:r>
        <w:rPr>
          <w:rFonts w:eastAsia="Times New Roman" w:cs="Calibri"/>
          <w:i/>
          <w:color w:val="FF0000"/>
          <w:highlight w:val="white"/>
          <w:lang w:eastAsia="pt-BR" w:bidi="he-IL"/>
        </w:rPr>
        <w:t xml:space="preserve">Resposta: </w:t>
      </w:r>
      <w:r>
        <w:rPr>
          <w:rFonts w:eastAsia="Times New Roman" w:cs="Calibri"/>
          <w:i/>
          <w:color w:val="212121"/>
          <w:highlight w:val="white"/>
          <w:lang w:eastAsia="pt-BR" w:bidi="he-IL"/>
        </w:rPr>
        <w:t>O entendimento está correto. Cada item deverá ter uma única cotação, sem alternativas de preço, conforme item 7.8 indicado no questionamento da licitante.</w:t>
      </w:r>
      <w:r>
        <w:rPr>
          <w:rFonts w:cs="Calibri"/>
          <w:i/>
          <w:color w:val="212121"/>
          <w:shd w:fill="FFFFFF" w:val="clear"/>
        </w:rPr>
        <w:t>""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bCs/>
          <w:color w:val="000000"/>
          <w:lang w:eastAsia="zh-CN"/>
        </w:rPr>
      </w:pPr>
      <w:r>
        <w:rPr>
          <w:rFonts w:eastAsia="Times New Roman" w:cs="Times New Roman"/>
          <w:bCs/>
          <w:color w:val="00000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/>
          <w:bCs/>
          <w:color w:val="000000"/>
          <w:lang w:eastAsia="zh-CN"/>
        </w:rPr>
        <w:tab/>
        <w:t>Dessa forma, o Pregoeiro entende que os esclarecimentos foram devidamente prestados pela Área Técnica, ao tempo em que se mantém à disposição para outros esclarecimentos que porventura sobrevierem.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bCs/>
          <w:color w:val="000000"/>
          <w:lang w:eastAsia="zh-CN"/>
        </w:rPr>
      </w:pPr>
      <w:r>
        <w:rPr>
          <w:rFonts w:eastAsia="Times New Roman" w:cs="Times New Roman"/>
          <w:bCs/>
          <w:color w:val="00000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i/>
          <w:color w:val="000000"/>
          <w:lang w:eastAsia="zh-CN"/>
        </w:rPr>
        <w:t>ABDIAS DA SILVA OLIVEIRA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bookmarkStart w:id="2" w:name="__DdeLink__74_2549469932"/>
      <w:bookmarkStart w:id="3" w:name="_GoBack"/>
      <w:bookmarkEnd w:id="3"/>
      <w:bookmarkEnd w:id="2"/>
      <w:r>
        <w:rPr>
          <w:rFonts w:eastAsia="Times New Roman" w:cs="Times New Roman"/>
          <w:bCs/>
          <w:color w:val="000000"/>
          <w:lang w:eastAsia="zh-CN"/>
        </w:rPr>
        <w:t>Pregoeiro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altName w:val="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</w:r>
  </w:p>
  <w:p>
    <w:pPr>
      <w:pStyle w:val="Rodap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anchor behindDoc="0" distT="0" distB="0" distL="114935" distR="124460" simplePos="0" locked="0" layoutInCell="1" allowOverlap="1" relativeHeight="3">
          <wp:simplePos x="0" y="0"/>
          <wp:positionH relativeFrom="column">
            <wp:posOffset>2501900</wp:posOffset>
          </wp:positionH>
          <wp:positionV relativeFrom="paragraph">
            <wp:posOffset>-267335</wp:posOffset>
          </wp:positionV>
          <wp:extent cx="904875" cy="838200"/>
          <wp:effectExtent l="0" t="0" r="0" b="0"/>
          <wp:wrapTight wrapText="bothSides">
            <wp:wrapPolygon edited="0">
              <wp:start x="-132" y="0"/>
              <wp:lineTo x="-132" y="20977"/>
              <wp:lineTo x="21362" y="20977"/>
              <wp:lineTo x="21362" y="0"/>
              <wp:lineTo x="-132" y="0"/>
            </wp:wrapPolygon>
          </wp:wrapTight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cs="Times New Roman" w:ascii="Times New Roman" w:hAnsi="Times New Roman"/>
        <w:bCs/>
        <w:sz w:val="18"/>
        <w:szCs w:val="18"/>
      </w:rPr>
      <w:t>MINISTÉRIO DO PLANEJAMENTO, DESENVOLVIMENTO E GESTÃO</w:t>
    </w:r>
  </w:p>
  <w:p>
    <w:pPr>
      <w:pStyle w:val="Cabealho"/>
      <w:shd w:val="clear" w:color="auto" w:fill="FFFFFF"/>
      <w:jc w:val="center"/>
      <w:rPr>
        <w:bCs/>
        <w:sz w:val="18"/>
        <w:szCs w:val="18"/>
      </w:rPr>
    </w:pPr>
    <w:r>
      <w:rPr>
        <w:sz w:val="18"/>
        <w:szCs w:val="18"/>
      </w:rPr>
      <w:t>Secretaria de Gestão</w:t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cs="Times New Roman" w:ascii="Times New Roman" w:hAnsi="Times New Roman"/>
        <w:bCs/>
        <w:sz w:val="18"/>
        <w:szCs w:val="18"/>
      </w:rPr>
      <w:t xml:space="preserve">Central de Compras </w:t>
    </w:r>
  </w:p>
  <w:p>
    <w:pPr>
      <w:pStyle w:val="Cabealho"/>
      <w:jc w:val="center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149c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5149ca"/>
    <w:rPr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149ca"/>
    <w:rPr>
      <w:rFonts w:ascii="Tahoma" w:hAnsi="Tahoma" w:cs="Tahoma"/>
      <w:sz w:val="16"/>
      <w:szCs w:val="16"/>
    </w:rPr>
  </w:style>
  <w:style w:type="character" w:styleId="Yaqfulltext" w:customStyle="1">
    <w:name w:val="ya-q-full-text"/>
    <w:basedOn w:val="DefaultParagraphFont"/>
    <w:qFormat/>
    <w:rsid w:val="005149ca"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b0a1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b0a16"/>
    <w:rPr/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487463"/>
    <w:rPr>
      <w:b/>
      <w:bCs/>
      <w:sz w:val="20"/>
      <w:szCs w:val="20"/>
    </w:rPr>
  </w:style>
  <w:style w:type="character" w:styleId="CabealhoChar1" w:customStyle="1">
    <w:name w:val="Cabeçalho Char1"/>
    <w:qFormat/>
    <w:rsid w:val="00034b9f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LinkdaInternet">
    <w:name w:val="Link da Internet"/>
    <w:basedOn w:val="DefaultParagraphFont"/>
    <w:uiPriority w:val="99"/>
    <w:unhideWhenUsed/>
    <w:rsid w:val="00153c8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f6b68"/>
    <w:rPr>
      <w:b/>
      <w:bCs/>
    </w:rPr>
  </w:style>
  <w:style w:type="character" w:styleId="ListLabel1">
    <w:name w:val="ListLabel 1"/>
    <w:qFormat/>
    <w:rPr>
      <w:b w:val="false"/>
      <w:color w:val="00000A"/>
      <w:sz w:val="24"/>
      <w:szCs w:val="24"/>
    </w:rPr>
  </w:style>
  <w:style w:type="character" w:styleId="ListLabel2">
    <w:name w:val="ListLabel 2"/>
    <w:qFormat/>
    <w:rPr>
      <w:rFonts w:cs="Times New Roman"/>
      <w:b w:val="false"/>
      <w:sz w:val="24"/>
      <w:szCs w:val="24"/>
    </w:rPr>
  </w:style>
  <w:style w:type="character" w:styleId="ListLabel3">
    <w:name w:val="ListLabel 3"/>
    <w:qFormat/>
    <w:rPr>
      <w:rFonts w:cs="Times New Roman"/>
      <w:b w:val="false"/>
      <w:color w:val="000000"/>
      <w:sz w:val="24"/>
      <w:szCs w:val="24"/>
    </w:rPr>
  </w:style>
  <w:style w:type="character" w:styleId="ListLabel4">
    <w:name w:val="ListLabel 4"/>
    <w:qFormat/>
    <w:rPr>
      <w:rFonts w:cs="Times New Roman"/>
      <w:color w:val="000000"/>
      <w:sz w:val="24"/>
      <w:szCs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5149ca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149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9ca"/>
    <w:pPr>
      <w:spacing w:before="0" w:after="200"/>
      <w:ind w:left="720" w:hanging="0"/>
      <w:contextualSpacing/>
    </w:pPr>
    <w:rPr/>
  </w:style>
  <w:style w:type="paragraph" w:styleId="Cabealho">
    <w:name w:val="Header"/>
    <w:basedOn w:val="Normal"/>
    <w:link w:val="CabealhoChar"/>
    <w:unhideWhenUsed/>
    <w:rsid w:val="004b0a1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b0a1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487463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18401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LibreOffice/5.3.2.2$Windows_x86 LibreOffice_project/6cd4f1ef626f15116896b1d8e1398b56da0d0ee1</Application>
  <Pages>2</Pages>
  <Words>827</Words>
  <Characters>4511</Characters>
  <CharactersWithSpaces>5330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2017-09-01T10:25:00Z</dcterms:created>
  <dc:creator>Sandra Maria de Menezes Belota</dc:creator>
  <dc:description/>
  <dc:language>pt-BR</dc:language>
  <cp:lastModifiedBy/>
  <cp:lastPrinted>2017-08-17T19:52:00Z</cp:lastPrinted>
  <dcterms:modified xsi:type="dcterms:W3CDTF">2017-09-13T11:43:04Z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